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ind w:firstLine="880" w:firstLineChars="200"/>
        <w:jc w:val="center"/>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t>廊坊市</w:t>
      </w:r>
      <w:r>
        <w:rPr>
          <w:rFonts w:hint="eastAsia" w:ascii="方正小标宋简体" w:hAnsi="方正小标宋简体" w:eastAsia="方正小标宋简体" w:cs="Times New Roman"/>
          <w:sz w:val="44"/>
          <w:szCs w:val="44"/>
        </w:rPr>
        <w:t>应急管理局</w:t>
      </w:r>
      <w:r>
        <w:rPr>
          <w:rFonts w:ascii="方正小标宋简体" w:hAnsi="方正小标宋简体" w:eastAsia="方正小标宋简体" w:cs="Times New Roman"/>
          <w:sz w:val="44"/>
          <w:szCs w:val="44"/>
        </w:rPr>
        <w:t>20</w:t>
      </w:r>
      <w:r>
        <w:rPr>
          <w:rFonts w:hint="eastAsia" w:ascii="方正小标宋简体" w:hAnsi="方正小标宋简体" w:eastAsia="方正小标宋简体" w:cs="Times New Roman"/>
          <w:sz w:val="44"/>
          <w:szCs w:val="44"/>
        </w:rPr>
        <w:t>21</w:t>
      </w:r>
      <w:r>
        <w:rPr>
          <w:rFonts w:ascii="方正小标宋简体" w:hAnsi="方正小标宋简体" w:eastAsia="方正小标宋简体" w:cs="Times New Roman"/>
          <w:sz w:val="44"/>
          <w:szCs w:val="44"/>
        </w:rPr>
        <w:t>年部门预算信息公开</w:t>
      </w:r>
      <w:r>
        <w:rPr>
          <w:rFonts w:hint="eastAsia" w:ascii="方正小标宋简体" w:hAnsi="方正小标宋简体" w:eastAsia="方正小标宋简体" w:cs="Times New Roman"/>
          <w:sz w:val="44"/>
          <w:szCs w:val="44"/>
        </w:rPr>
        <w:t>情况说明</w:t>
      </w:r>
    </w:p>
    <w:p>
      <w:pPr>
        <w:spacing w:line="584" w:lineRule="exact"/>
        <w:ind w:firstLine="880" w:firstLineChars="200"/>
        <w:jc w:val="center"/>
        <w:rPr>
          <w:rFonts w:ascii="Times New Roman" w:hAnsi="Times New Roman" w:eastAsia="仿宋_GB2312" w:cs="Times New Roman"/>
          <w:sz w:val="44"/>
          <w:szCs w:val="44"/>
        </w:rPr>
      </w:pPr>
    </w:p>
    <w:p>
      <w:pPr>
        <w:spacing w:line="580" w:lineRule="exact"/>
        <w:ind w:firstLine="640" w:firstLineChars="200"/>
        <w:rPr>
          <w:rFonts w:ascii="仿宋_GB2312" w:hAnsi="Times New Roman" w:eastAsia="仿宋_GB2312" w:cs="Times New Roman"/>
          <w:sz w:val="32"/>
          <w:szCs w:val="32"/>
        </w:rPr>
      </w:pPr>
      <w:r>
        <w:rPr>
          <w:rFonts w:ascii="Times New Roman" w:hAnsi="Times New Roman" w:eastAsia="仿宋_GB2312" w:cs="Times New Roman"/>
          <w:sz w:val="32"/>
          <w:szCs w:val="32"/>
        </w:rPr>
        <w:t>按照《中华人民共和国预算法》、《中华人民共和国预算法实施条例》、《地方预决算公开操作规程》和《河北省省级预算公开办法》规定，现将廊坊市</w:t>
      </w:r>
      <w:r>
        <w:rPr>
          <w:rFonts w:hint="eastAsia" w:ascii="Times New Roman" w:hAnsi="Times New Roman" w:eastAsia="仿宋_GB2312" w:cs="Times New Roman"/>
          <w:sz w:val="32"/>
          <w:szCs w:val="32"/>
        </w:rPr>
        <w:t>应急管理局</w:t>
      </w:r>
      <w:r>
        <w:rPr>
          <w:rFonts w:hint="eastAsia" w:ascii="仿宋_GB2312" w:hAnsi="Times New Roman" w:eastAsia="仿宋_GB2312" w:cs="Times New Roman"/>
          <w:sz w:val="32"/>
          <w:szCs w:val="32"/>
        </w:rPr>
        <w:t>2021年部门预算公开如下：</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一、部门职责及机构设置情况</w:t>
      </w:r>
    </w:p>
    <w:p>
      <w:pPr>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部门职责：</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（1）负责应急管理工作，指导各级各部门应对安全生产类、自然灾害类等突发事件和综合防灾减灾救灾工作。负责安全生产综合监督管理和工矿商贸行业安全生产监督管理工作。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（2）拟订应急管理、安全生产等政策规定，组织编制市应急体系建设、安全生产和综合防灾减灾规划，组织编制防震减灾规划、计划，组织制定相关规程和标准并监督实施。</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指导应急预案体系建设，建立完善事故灾难和自然灾害分级应对制度，组织编制市总体应急预案和安全生产类、自然灾害类专项预案，综合协调应急预案衔接工作，组织开展预案演练，推动应急避难设施建设。</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（4）牵头建立统一的全市应急管理信息系统，负责信息传输渠道的规划和布局，建立监测预警和灾情报告制度，健全自然灾害信息资源获取和共享机制，依法统一发布灾情。</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（5）组织指导协调安全生产类、自然灾害类等突发事件应急救援，承担市应对重大灾害指挥部工作，综合研判突发事件发展态势并提出应对建议，协助市委、市政府指定的负责同志组织重大灾害应急处置工作。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（6）统一协调指挥各类应急专业队伍，建立应急协调联动机制，推进指挥平台对接，衔接解放军和武警部队参与应急救援工作。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（7）统筹应急救援力量建设，负责消防、森林和草原火灾扑救、抗洪抢险、地震和地质灾害救援、生产安全事故救援等专业应急救援力量建设，管理市综合性应急救援队伍，指导各级及社会应急救援力量建设。</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（8）组织协调消防工作，指导各级消防监督、火灾预防、火灾扑救等工作。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（9）指导协调森林和草原火灾、水旱灾害、地质灾害等防治工作，组织开展地震监测预报工作和地震灾害预防工作，负责自然灾害综合监测预警工作，指导开展自然灾害综合风险评估工作。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（10）组织协调灾害救助工作，组织指导灾情核查、损失评估、救灾捐赠工作，管理、分配市救灾款物并监督使用。</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（11）依法行使市安全生产综合监督管理职权，指导协调、监督检查市有关部门和各县（市、区）政府、廊坊开发区管委会安全生产工作，组织开展安全生产巡查、考核工作。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12）按照分级、属地原则，依法监督检查工矿商贸生产经营单位贯彻执行安全生产法律法规情况，及其安全生产条件和有关设备（特种设备除外）、材料、劳动防护用品的安全生产管理工作；负责监督管理工矿商贸行业市属企业的安全生产工作；按照有关要求，负责监督管理驻廊中央、省属企业的安全生产工作；依法组织并指导监督实施安全生产准入制度；负责危险化学品安全监督管理综合工作和烟花爆竹安全生产监督管理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（13）依法组织指导生产安全事故调查处理，监督事故查处和责任追究落实情况。组织开展自然灾害类突发事件的调查评估工作。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（14）制定应急物资储备和应急救援装备规划并组织实施，会同市粮食和物资储备等部门建立健全应急物资信息平台和调拨制度，在救灾时统一调度。</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（15）负责应急管理、安全生产宣传教育和培训工作，组织指导应急管理、安全生产的科学技术研究、推广应用和信息化建设工作。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（16）负责组织指导协调和监督全市安全生产行政执法工作，组织开展对市属企业和驻廊中央、省属企业的执法检查，组织开展对安全生产重点企业的执法检查，负责全市抗震设防执法工作。</w:t>
      </w:r>
    </w:p>
    <w:p>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（17）组织开展应急管理方面的对外交流与合作。</w:t>
      </w:r>
    </w:p>
    <w:p>
      <w:pPr>
        <w:snapToGrid w:val="0"/>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sz w:val="32"/>
          <w:szCs w:val="32"/>
        </w:rPr>
        <w:t>（18）完成市委、市政府交办的其他任务。</w:t>
      </w:r>
    </w:p>
    <w:p>
      <w:pPr>
        <w:autoSpaceDE w:val="0"/>
        <w:autoSpaceDN w:val="0"/>
        <w:adjustRightInd w:val="0"/>
        <w:spacing w:line="584" w:lineRule="exact"/>
        <w:ind w:firstLine="630" w:firstLineChars="196"/>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机构设置：</w:t>
      </w:r>
    </w:p>
    <w:p>
      <w:pPr>
        <w:spacing w:line="584" w:lineRule="exact"/>
        <w:jc w:val="center"/>
        <w:outlineLvl w:val="0"/>
        <w:rPr>
          <w:rFonts w:ascii="Times New Roman" w:hAnsi="Times New Roman" w:eastAsia="仿宋_GB2312" w:cs="Times New Roman"/>
          <w:b/>
          <w:sz w:val="32"/>
          <w:szCs w:val="24"/>
        </w:rPr>
      </w:pPr>
      <w:r>
        <w:rPr>
          <w:rFonts w:ascii="Times New Roman" w:hAnsi="Times New Roman" w:eastAsia="仿宋_GB2312" w:cs="Times New Roman"/>
          <w:b/>
          <w:sz w:val="32"/>
          <w:szCs w:val="24"/>
        </w:rPr>
        <w:t>部门机构设置情况</w:t>
      </w:r>
    </w:p>
    <w:tbl>
      <w:tblPr>
        <w:tblStyle w:val="8"/>
        <w:tblW w:w="97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34"/>
        <w:gridCol w:w="1443"/>
        <w:gridCol w:w="1482"/>
        <w:gridCol w:w="26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tblHeader/>
          <w:jc w:val="center"/>
        </w:trPr>
        <w:tc>
          <w:tcPr>
            <w:tcW w:w="41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单位名称</w:t>
            </w:r>
          </w:p>
        </w:tc>
        <w:tc>
          <w:tcPr>
            <w:tcW w:w="144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单位性质</w:t>
            </w:r>
          </w:p>
        </w:tc>
        <w:tc>
          <w:tcPr>
            <w:tcW w:w="14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单位规格</w:t>
            </w:r>
          </w:p>
        </w:tc>
        <w:tc>
          <w:tcPr>
            <w:tcW w:w="269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41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rPr>
            </w:pPr>
          </w:p>
        </w:tc>
        <w:tc>
          <w:tcPr>
            <w:tcW w:w="144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rPr>
            </w:pPr>
          </w:p>
        </w:tc>
        <w:tc>
          <w:tcPr>
            <w:tcW w:w="14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rPr>
            </w:pPr>
          </w:p>
        </w:tc>
        <w:tc>
          <w:tcPr>
            <w:tcW w:w="26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1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廊坊市应急管理局</w:t>
            </w:r>
          </w:p>
        </w:tc>
        <w:tc>
          <w:tcPr>
            <w:tcW w:w="1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行政单位</w:t>
            </w:r>
          </w:p>
        </w:tc>
        <w:tc>
          <w:tcPr>
            <w:tcW w:w="14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正处级</w:t>
            </w:r>
          </w:p>
        </w:tc>
        <w:tc>
          <w:tcPr>
            <w:tcW w:w="26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财政拨款（行政）</w:t>
            </w:r>
          </w:p>
        </w:tc>
      </w:tr>
    </w:tbl>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二、部门预算安排的总体情况</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按照预算管理有关规定，目前我市部门预算的编制实行综合预算制度，即全部收入和支出都反映在预算中。廊坊市</w:t>
      </w:r>
      <w:r>
        <w:rPr>
          <w:rFonts w:hint="eastAsia" w:ascii="Times New Roman" w:hAnsi="Times New Roman" w:eastAsia="仿宋_GB2312" w:cs="Times New Roman"/>
          <w:sz w:val="32"/>
          <w:szCs w:val="32"/>
        </w:rPr>
        <w:t>应急管理局</w:t>
      </w:r>
      <w:r>
        <w:rPr>
          <w:rFonts w:ascii="Times New Roman" w:hAnsi="Times New Roman" w:eastAsia="仿宋_GB2312" w:cs="Times New Roman"/>
          <w:sz w:val="32"/>
          <w:szCs w:val="32"/>
        </w:rPr>
        <w:t>机关及所属事业单位的收支包含在部门预算中。</w:t>
      </w:r>
    </w:p>
    <w:p>
      <w:pPr>
        <w:spacing w:line="584" w:lineRule="exact"/>
        <w:ind w:firstLine="640"/>
        <w:rPr>
          <w:rFonts w:ascii="楷体" w:hAnsi="楷体" w:eastAsia="楷体" w:cs="Times New Roman"/>
          <w:b/>
          <w:sz w:val="32"/>
          <w:szCs w:val="32"/>
        </w:rPr>
      </w:pPr>
      <w:r>
        <w:rPr>
          <w:rFonts w:ascii="楷体" w:hAnsi="楷体" w:eastAsia="楷体" w:cs="Times New Roman"/>
          <w:b/>
          <w:sz w:val="32"/>
          <w:szCs w:val="32"/>
        </w:rPr>
        <w:t>1、收入说明</w:t>
      </w:r>
    </w:p>
    <w:p>
      <w:pPr>
        <w:spacing w:line="584"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反映本部门当年全部收入。2021年预算收入3233.79万元，其中：一般公共预算收入3002.55万元，基金预算收入0万元，财政专户核拨收入0万元，其他来源收入0万元，上年结转</w:t>
      </w:r>
      <w:r>
        <w:rPr>
          <w:rFonts w:hint="eastAsia" w:ascii="仿宋_GB2312" w:hAnsi="Times New Roman" w:eastAsia="仿宋_GB2312" w:cs="Times New Roman"/>
          <w:sz w:val="32"/>
          <w:szCs w:val="32"/>
          <w:lang w:val="en-US" w:eastAsia="zh-CN"/>
        </w:rPr>
        <w:t>231.24</w:t>
      </w:r>
      <w:r>
        <w:rPr>
          <w:rFonts w:hint="eastAsia" w:ascii="仿宋_GB2312" w:hAnsi="Times New Roman" w:eastAsia="仿宋_GB2312" w:cs="Times New Roman"/>
          <w:sz w:val="32"/>
          <w:szCs w:val="32"/>
        </w:rPr>
        <w:t>万元。</w:t>
      </w:r>
    </w:p>
    <w:p>
      <w:pPr>
        <w:spacing w:line="584" w:lineRule="exact"/>
        <w:ind w:firstLine="640"/>
        <w:rPr>
          <w:rFonts w:ascii="楷体" w:hAnsi="楷体" w:eastAsia="楷体" w:cs="Times New Roman"/>
          <w:b/>
          <w:sz w:val="32"/>
          <w:szCs w:val="32"/>
        </w:rPr>
      </w:pPr>
      <w:r>
        <w:rPr>
          <w:rFonts w:ascii="楷体" w:hAnsi="楷体" w:eastAsia="楷体" w:cs="Times New Roman"/>
          <w:b/>
          <w:sz w:val="32"/>
          <w:szCs w:val="32"/>
        </w:rPr>
        <w:t>2、支出说明</w:t>
      </w:r>
    </w:p>
    <w:p>
      <w:pPr>
        <w:spacing w:line="584"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收支预算总表支出栏、基本支出表、项目支出表按经济分类和支出功能分类科目编制，反映廊坊市应急管理局年度部门预算中支出预算的总体情况。2021年支出预算3233.79万元，其中基本支出1840.52万元，包括人员类项目经费1594.62万元和运转类公用项目经费245.90万元；运转类其他及特定目标类项目支出</w:t>
      </w:r>
      <w:r>
        <w:rPr>
          <w:rFonts w:hint="eastAsia" w:ascii="仿宋_GB2312" w:hAnsi="Times New Roman" w:eastAsia="仿宋_GB2312" w:cs="Times New Roman"/>
          <w:sz w:val="32"/>
          <w:szCs w:val="32"/>
          <w:lang w:val="en-US" w:eastAsia="zh-CN"/>
        </w:rPr>
        <w:t>1393.27</w:t>
      </w:r>
      <w:r>
        <w:rPr>
          <w:rFonts w:hint="eastAsia" w:ascii="仿宋_GB2312" w:hAnsi="Times New Roman" w:eastAsia="仿宋_GB2312" w:cs="Times New Roman"/>
          <w:sz w:val="32"/>
          <w:szCs w:val="32"/>
        </w:rPr>
        <w:t>万元，包括本级支出，主要为应急管理专项业务经费、应急管理专项工作保障经费、应急管理信息平台运行维护经费等。</w:t>
      </w:r>
    </w:p>
    <w:p>
      <w:pPr>
        <w:spacing w:line="584" w:lineRule="exact"/>
        <w:ind w:firstLine="640"/>
        <w:rPr>
          <w:rFonts w:ascii="楷体" w:hAnsi="楷体" w:eastAsia="楷体" w:cs="Times New Roman"/>
          <w:b/>
          <w:sz w:val="32"/>
          <w:szCs w:val="32"/>
        </w:rPr>
      </w:pPr>
      <w:r>
        <w:rPr>
          <w:rFonts w:ascii="楷体" w:hAnsi="楷体" w:eastAsia="楷体" w:cs="Times New Roman"/>
          <w:b/>
          <w:sz w:val="32"/>
          <w:szCs w:val="32"/>
        </w:rPr>
        <w:t>3、比上年增减情况</w:t>
      </w:r>
    </w:p>
    <w:p>
      <w:pPr>
        <w:spacing w:line="584"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2021年预算收支安排3233.79万元，较2020年预算减少</w:t>
      </w:r>
      <w:r>
        <w:rPr>
          <w:rFonts w:hint="eastAsia" w:ascii="仿宋_GB2312" w:hAnsi="Times New Roman" w:eastAsia="仿宋_GB2312" w:cs="Times New Roman"/>
          <w:sz w:val="32"/>
          <w:szCs w:val="32"/>
          <w:lang w:val="en-US" w:eastAsia="zh-CN"/>
        </w:rPr>
        <w:t>120.99</w:t>
      </w:r>
      <w:r>
        <w:rPr>
          <w:rFonts w:hint="eastAsia" w:ascii="仿宋_GB2312" w:hAnsi="Times New Roman" w:eastAsia="仿宋_GB2312" w:cs="Times New Roman"/>
          <w:sz w:val="32"/>
          <w:szCs w:val="32"/>
        </w:rPr>
        <w:t>万元，其中：基本支出增加99.06万元，主要为人员经费和日常公用经费支出；项目支出减少</w:t>
      </w:r>
      <w:r>
        <w:rPr>
          <w:rFonts w:hint="eastAsia" w:ascii="仿宋_GB2312" w:hAnsi="Times New Roman" w:eastAsia="仿宋_GB2312" w:cs="Times New Roman"/>
          <w:sz w:val="32"/>
          <w:szCs w:val="32"/>
          <w:lang w:val="en-US" w:eastAsia="zh-CN"/>
        </w:rPr>
        <w:t>220.05</w:t>
      </w:r>
      <w:r>
        <w:rPr>
          <w:rFonts w:hint="eastAsia" w:ascii="仿宋_GB2312" w:hAnsi="Times New Roman" w:eastAsia="仿宋_GB2312" w:cs="Times New Roman"/>
          <w:sz w:val="32"/>
          <w:szCs w:val="32"/>
        </w:rPr>
        <w:t>万元，主要为应急管理专项业务经费、应急管理专项工作保障经费项目支出。</w:t>
      </w:r>
    </w:p>
    <w:p>
      <w:pPr>
        <w:autoSpaceDE w:val="0"/>
        <w:autoSpaceDN w:val="0"/>
        <w:adjustRightInd w:val="0"/>
        <w:spacing w:line="584" w:lineRule="exact"/>
        <w:ind w:left="198"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三、机关运行经费安排情况</w:t>
      </w:r>
    </w:p>
    <w:p>
      <w:pPr>
        <w:autoSpaceDE w:val="0"/>
        <w:autoSpaceDN w:val="0"/>
        <w:adjustRightInd w:val="0"/>
        <w:spacing w:line="584" w:lineRule="exact"/>
        <w:ind w:left="198"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2021年，我局机关运行经费共计安排126.75万元，主要用于廊坊市应急管理局办公区的日常维修、办公用房水电费、办公用房取暖费、办公用房物业管理费等日常运行支出。</w:t>
      </w:r>
    </w:p>
    <w:p>
      <w:pPr>
        <w:autoSpaceDE w:val="0"/>
        <w:autoSpaceDN w:val="0"/>
        <w:adjustRightInd w:val="0"/>
        <w:spacing w:line="584" w:lineRule="exact"/>
        <w:ind w:firstLine="787" w:firstLineChars="246"/>
        <w:jc w:val="left"/>
        <w:rPr>
          <w:rFonts w:ascii="黑体" w:hAnsi="黑体" w:eastAsia="黑体" w:cs="Times New Roman"/>
          <w:b w:val="0"/>
          <w:bCs/>
          <w:sz w:val="32"/>
          <w:szCs w:val="32"/>
        </w:rPr>
      </w:pPr>
      <w:r>
        <w:rPr>
          <w:rFonts w:ascii="黑体" w:hAnsi="黑体" w:eastAsia="黑体" w:cs="Times New Roman"/>
          <w:b w:val="0"/>
          <w:bCs/>
          <w:sz w:val="32"/>
          <w:szCs w:val="32"/>
        </w:rPr>
        <w:t>四、财政拨款“三公”经费预算情况及增减变化原因</w:t>
      </w:r>
    </w:p>
    <w:p>
      <w:pPr>
        <w:autoSpaceDE w:val="0"/>
        <w:autoSpaceDN w:val="0"/>
        <w:adjustRightInd w:val="0"/>
        <w:spacing w:line="584" w:lineRule="exact"/>
        <w:ind w:left="197" w:leftChars="94"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我局财政拨款“三公”经费预算安排46.21万元。其中，因公出国（境）费0万元；公务用车购置及运维费44.36万元（其中：公务用车购置费为0万元，公务用车运维费44.36万元)；公务接待费1.85万元。与2020年相比减少1.17万元，其中，公务用车购置及运维费减少1.17万元（其中：公务用车购置费减少0万元，公务用车运维费减少1.17万元)，主要原因是我部门切实落实勤俭节约各项规定，压减公车运行经费支出；公务接待费与2020年相比持平，无增减变化。</w:t>
      </w:r>
    </w:p>
    <w:p>
      <w:pPr>
        <w:spacing w:line="584" w:lineRule="exact"/>
        <w:ind w:firstLine="800" w:firstLineChars="250"/>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五、绩效预算信息</w:t>
      </w:r>
    </w:p>
    <w:p>
      <w:pPr>
        <w:spacing w:line="58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部门整体绩效目标</w:t>
      </w:r>
    </w:p>
    <w:p>
      <w:pPr>
        <w:spacing w:line="58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（一）总体绩效目标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优化、协同、高效的原则，着力防风险、保稳定、建制度、补短板，大力推进应急治理体系和治理能力现代化，进一步完善安全生产、防灾减灾、应急救援十大体系和十个运行机制，着力构建统一指挥、专常兼备、反应灵敏、上下联动、平战结合的应急管理体制；扎实推进重点工程和专项行动有效实施，促进全市安全生产水平、自然灾害防治能力、重大灾害救助能力、应急救援能力、信息化支撑能力明显提升；安全风险防范工作取得扎实成效，灾害损失明显减少；安全生产形势持续稳定，较大事故进一步减少，重特大事故得到有效遏制。全年组织应急演练2次以上、应急宣传受众10万人次、应急教育培训2000人次、考核安全生产管理人员和特种作业人员9000人次、对80家以上重点生产经营单位开展安全生产执法检查。</w:t>
      </w:r>
    </w:p>
    <w:p>
      <w:pPr>
        <w:spacing w:line="58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（二）分项绩效目标</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1、全面提升应急指挥和综合救援水平</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绩效目标：通过加强突发事件应急指挥协调保障、增加应急救援装备和物资储备，开展大练兵、大比武活动，有效提升应急指挥和综合救援能力。</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绩效指标：开展应急演练2次，应急救援队伍集中训练1次，购置防汛装备3台（套），全年因灾害造成人员伤亡和财产损失比上年度下降。</w:t>
      </w:r>
    </w:p>
    <w:p>
      <w:pPr>
        <w:numPr>
          <w:ilvl w:val="0"/>
          <w:numId w:val="1"/>
        </w:num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切实提高自然灾害防治能力</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绩效目标：通过组织开展灾害风险会商，对灾害风险形势和主要灾害趋2势定期进行会商研判，加强灾害监测预警，推动全市自然灾害分类监测和分级预警体系建设，切实提升自然灾害防治能力。</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绩效指标：实现省市县和部门间信息互通共享，监测预警系统正常运行率在95%以上，开展地震、洪涝、森林火灾等灾害趋势会商研判15次以上。</w:t>
      </w:r>
    </w:p>
    <w:p>
      <w:pPr>
        <w:numPr>
          <w:ilvl w:val="0"/>
          <w:numId w:val="1"/>
        </w:num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持续做好安全风险防范化解</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绩效目标：通过继续开展“安全生产双控”机制建设、深入开展安全生产三年攻坚行动、严格安全准入许可，强化安全生产执法检查，有效防范化解安全风险，保持全市安全生产形势持续稳定。</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重点监管企业安全生产“双控”机制建设完成率达到100%、一般行业企业达到80%以上；组织开展安全生产专项整治行动2次以上，全年行政许可按时审批率100%，监督检查生产经营单位300家次以上、对80家以上重点生产经营单位开展安全生产执法检查。</w:t>
      </w:r>
    </w:p>
    <w:p>
      <w:pPr>
        <w:numPr>
          <w:ilvl w:val="0"/>
          <w:numId w:val="1"/>
        </w:num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扎实推进应急管理信息化建设</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绩效目标：通过完成应急管理信息化平台（三期）建设，健全平台各系统功能，提升应急管理信息化水平。</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绩效指标：完成应急信息化平台3个模块的采购及安装调试，验收合格率达到100%，已建成系统正常运行率达到95%以上。</w:t>
      </w:r>
    </w:p>
    <w:p>
      <w:pPr>
        <w:numPr>
          <w:ilvl w:val="0"/>
          <w:numId w:val="1"/>
        </w:num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切实加强应急管理宣传</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绩效目标：通过加强与新闻媒体深度合作，提高新闻发布、公益宣传和舆情应对水平，建立“安全提示”协调联动机制，提升公众应急和安全生产意识和能力。</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绩效指标：全年开展集中应急宣传活动2次以上，电视宣传专栏10期，廊坊日报应急宣传专栏8期，电梯电视公益广告400个、微信公众号更新300次，官方微博信息更新300次，应急宣传受众人数达到10万人次以上。</w:t>
      </w:r>
    </w:p>
    <w:p>
      <w:pPr>
        <w:numPr>
          <w:ilvl w:val="0"/>
          <w:numId w:val="1"/>
        </w:num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持续夯实基层基础</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绩效目标：通过开展应急管理培训、应急科技推广、事故灾害调查统计工作、自然灾害普查，提升应急管理和安全生产基础能力，提高本质安全水平。</w:t>
      </w:r>
    </w:p>
    <w:p>
      <w:pPr>
        <w:topLinePunct/>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绩效指标：全年应急教育培训2000人次以上，考核安全生产管理人员和特种作业人员9000人以上，生产安全事故调查结案率100%，开展自然灾害普查1次，地震流动科普馆巡展1次。</w:t>
      </w:r>
    </w:p>
    <w:p>
      <w:pPr>
        <w:topLinePunct/>
        <w:adjustRightInd w:val="0"/>
        <w:snapToGrid w:val="0"/>
        <w:spacing w:line="58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（三）工作保障措施</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加强组织领导。成立以局主要领导为组长，相关分管领导为成员的年度部门预算执行工作领导小组，定期调度研判预算执行情况。督促预算执行部门加快项目实施进度，帮助解决预算执行过程中的问题，监督项目资金使用效益。</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完善制度建设。全面梳理本部门财务管理制度体系，以近年来预算执行、决算、内审、审计发现的问题为导向，完善制度建设，为预算执行建立完善的制度保障。一是对已有制度进行修订，使之执行更有效。二是填补制度空白，抓紧制定一批新制度、新规定，部门制度体系更完善。</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支出管理。通过优化支出结构、编细编实预算、提高内控审批效率、加快履行政府采购手续，尽快启动项目、及时支付资金等多种措施，确保支出进度达标。重点是通过限定内部审批时限来解决内部审批效率问题，通过提升采购需求文件质来压缩办理采购手续时间的问题。</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加强绩效运行监控。按照《廊坊市应急管理局预算绩效管理办法》（廊应急〔2019〕143号）及市财政局相关绩效管理规定，充分发挥局预算绩效管理工作领导小组及其办公室职能，开展绩效运行监控,及时发现运行中的偏差情况，并采取有效的措施予以纠偏，确保绩效目标如期保质实现。</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5、做好绩效自评。按要求开展上年度部门预算绩效自评和重点评价工作,对评价中发现的问题及时整改。针对上年度问题情况，“举一反三”，及时调整优化本年度支出结构,提高资金使用效益。</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规范财务资产管理。完善机关财务管理制度，严格审批程序。加强固定资产登记、使用和报废处置管理，做到支出合理，物尽其用。落实资4产使用管理责任制度，谁使用谁保管谁负责，定期开展资产清查，确保国有资产安全。</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加强内部监督。加强内部监督制度建设，建立内部监督机制、设立内部监督机构，对绩效运行情况、重大支出决策、资产处置及其他重要经济业务事项的决策和执行进行监督，对会计资料定期进行内部审计,并配合做好审计、财政监督等外部监督工作，确保财政资金安全有效。</w:t>
      </w:r>
    </w:p>
    <w:p>
      <w:pPr>
        <w:topLinePunct/>
        <w:adjustRightInd w:val="0"/>
        <w:snapToGrid w:val="0"/>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加强培训调研。一是重点加强对项目承办科室人员培训。提升项目承办科室人员财务管理、政府采购和预算绩效管理等方面的能力，提高项目实施前、中、后绩效管理水平。二是加强调研,研究优化财政资金配置、提高资金使用效益的有效措施；加大宣传力度，强化全局干部职工预算绩效管理意识，促进预算绩效管理水平进一步提升。</w:t>
      </w:r>
    </w:p>
    <w:p>
      <w:pPr>
        <w:overflowPunct w:val="0"/>
        <w:adjustRightInd w:val="0"/>
        <w:snapToGrid w:val="0"/>
        <w:spacing w:afterLines="50" w:line="580" w:lineRule="exact"/>
        <w:ind w:firstLine="630" w:firstLineChars="196"/>
        <w:jc w:val="left"/>
        <w:rPr>
          <w:rFonts w:hint="eastAsia" w:ascii="楷体" w:hAnsi="楷体" w:eastAsia="楷体" w:cs="楷体"/>
          <w:b/>
          <w:sz w:val="32"/>
          <w:szCs w:val="32"/>
        </w:rPr>
      </w:pPr>
      <w:r>
        <w:rPr>
          <w:rFonts w:hint="eastAsia" w:ascii="楷体" w:hAnsi="楷体" w:eastAsia="楷体" w:cs="楷体"/>
          <w:b/>
          <w:sz w:val="32"/>
          <w:szCs w:val="32"/>
        </w:rPr>
        <w:t>（四）部门整体支出绩效指标</w:t>
      </w:r>
    </w:p>
    <w:tbl>
      <w:tblPr>
        <w:tblStyle w:val="8"/>
        <w:tblW w:w="14058" w:type="dxa"/>
        <w:jc w:val="center"/>
        <w:tblInd w:w="-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812"/>
        <w:gridCol w:w="800"/>
        <w:gridCol w:w="2075"/>
        <w:gridCol w:w="4213"/>
        <w:gridCol w:w="3014"/>
        <w:gridCol w:w="638"/>
        <w:gridCol w:w="537"/>
        <w:gridCol w:w="57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326" w:hRule="atLeast"/>
          <w:tblHeader/>
          <w:jc w:val="center"/>
        </w:trPr>
        <w:tc>
          <w:tcPr>
            <w:tcW w:w="812" w:type="dxa"/>
            <w:vMerge w:val="restart"/>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一级</w:t>
            </w:r>
          </w:p>
          <w:p>
            <w:pPr>
              <w:widowControl/>
              <w:adjustRightInd w:val="0"/>
              <w:snapToGrid w:val="0"/>
              <w:jc w:val="center"/>
              <w:rPr>
                <w:rFonts w:ascii="方正书宋_GBK" w:eastAsia="方正书宋_GBK"/>
                <w:b/>
              </w:rPr>
            </w:pPr>
            <w:r>
              <w:rPr>
                <w:rFonts w:ascii="方正书宋_GBK" w:eastAsia="方正书宋_GBK"/>
                <w:b/>
              </w:rPr>
              <w:t>指标</w:t>
            </w:r>
          </w:p>
        </w:tc>
        <w:tc>
          <w:tcPr>
            <w:tcW w:w="800" w:type="dxa"/>
            <w:vMerge w:val="restart"/>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二级</w:t>
            </w:r>
          </w:p>
          <w:p>
            <w:pPr>
              <w:widowControl/>
              <w:adjustRightInd w:val="0"/>
              <w:snapToGrid w:val="0"/>
              <w:jc w:val="center"/>
              <w:rPr>
                <w:rFonts w:ascii="方正书宋_GBK" w:eastAsia="方正书宋_GBK"/>
                <w:b/>
              </w:rPr>
            </w:pPr>
            <w:r>
              <w:rPr>
                <w:rFonts w:ascii="方正书宋_GBK" w:eastAsia="方正书宋_GBK"/>
                <w:b/>
              </w:rPr>
              <w:t>指标</w:t>
            </w:r>
          </w:p>
        </w:tc>
        <w:tc>
          <w:tcPr>
            <w:tcW w:w="2075" w:type="dxa"/>
            <w:vMerge w:val="restart"/>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三级</w:t>
            </w:r>
          </w:p>
          <w:p>
            <w:pPr>
              <w:widowControl/>
              <w:adjustRightInd w:val="0"/>
              <w:snapToGrid w:val="0"/>
              <w:jc w:val="center"/>
              <w:rPr>
                <w:rFonts w:ascii="方正书宋_GBK" w:eastAsia="方正书宋_GBK"/>
                <w:b/>
              </w:rPr>
            </w:pPr>
            <w:r>
              <w:rPr>
                <w:rFonts w:ascii="方正书宋_GBK" w:eastAsia="方正书宋_GBK"/>
                <w:b/>
              </w:rPr>
              <w:t>指标</w:t>
            </w:r>
          </w:p>
        </w:tc>
        <w:tc>
          <w:tcPr>
            <w:tcW w:w="4213" w:type="dxa"/>
            <w:vMerge w:val="restart"/>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评（扣）分标准</w:t>
            </w:r>
          </w:p>
        </w:tc>
        <w:tc>
          <w:tcPr>
            <w:tcW w:w="3014" w:type="dxa"/>
            <w:vMerge w:val="restart"/>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绩效指标</w:t>
            </w:r>
          </w:p>
          <w:p>
            <w:pPr>
              <w:widowControl/>
              <w:adjustRightInd w:val="0"/>
              <w:snapToGrid w:val="0"/>
              <w:jc w:val="center"/>
              <w:rPr>
                <w:rFonts w:ascii="方正书宋_GBK" w:eastAsia="方正书宋_GBK"/>
                <w:b/>
              </w:rPr>
            </w:pPr>
            <w:r>
              <w:rPr>
                <w:rFonts w:ascii="方正书宋_GBK" w:eastAsia="方正书宋_GBK"/>
                <w:b/>
              </w:rPr>
              <w:t>描述</w:t>
            </w:r>
          </w:p>
        </w:tc>
        <w:tc>
          <w:tcPr>
            <w:tcW w:w="1750" w:type="dxa"/>
            <w:gridSpan w:val="3"/>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指标值</w:t>
            </w:r>
          </w:p>
        </w:tc>
        <w:tc>
          <w:tcPr>
            <w:tcW w:w="1394" w:type="dxa"/>
            <w:vMerge w:val="restart"/>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指标值</w:t>
            </w:r>
          </w:p>
          <w:p>
            <w:pPr>
              <w:widowControl/>
              <w:adjustRightInd w:val="0"/>
              <w:snapToGrid w:val="0"/>
              <w:jc w:val="center"/>
              <w:rPr>
                <w:rFonts w:ascii="方正书宋_GBK" w:eastAsia="方正书宋_GBK"/>
                <w:b/>
              </w:rPr>
            </w:pPr>
            <w:r>
              <w:rPr>
                <w:rFonts w:ascii="方正书宋_GBK" w:eastAsia="方正书宋_GBK"/>
                <w:b/>
              </w:rPr>
              <w:t>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33" w:hRule="atLeast"/>
          <w:tblHeader/>
          <w:jc w:val="center"/>
        </w:trPr>
        <w:tc>
          <w:tcPr>
            <w:tcW w:w="812" w:type="dxa"/>
            <w:vMerge w:val="continue"/>
            <w:tcBorders>
              <w:tl2br w:val="nil"/>
              <w:tr2bl w:val="nil"/>
            </w:tcBorders>
            <w:vAlign w:val="center"/>
          </w:tcPr>
          <w:p/>
        </w:tc>
        <w:tc>
          <w:tcPr>
            <w:tcW w:w="800" w:type="dxa"/>
            <w:vMerge w:val="continue"/>
            <w:tcBorders>
              <w:tl2br w:val="nil"/>
              <w:tr2bl w:val="nil"/>
            </w:tcBorders>
            <w:vAlign w:val="center"/>
          </w:tcPr>
          <w:p/>
        </w:tc>
        <w:tc>
          <w:tcPr>
            <w:tcW w:w="2075" w:type="dxa"/>
            <w:vMerge w:val="continue"/>
            <w:tcBorders>
              <w:tl2br w:val="nil"/>
              <w:tr2bl w:val="nil"/>
            </w:tcBorders>
            <w:vAlign w:val="center"/>
          </w:tcPr>
          <w:p/>
        </w:tc>
        <w:tc>
          <w:tcPr>
            <w:tcW w:w="4213" w:type="dxa"/>
            <w:vMerge w:val="continue"/>
            <w:tcBorders>
              <w:tl2br w:val="nil"/>
              <w:tr2bl w:val="nil"/>
            </w:tcBorders>
            <w:vAlign w:val="center"/>
          </w:tcPr>
          <w:p/>
        </w:tc>
        <w:tc>
          <w:tcPr>
            <w:tcW w:w="3014" w:type="dxa"/>
            <w:vMerge w:val="continue"/>
            <w:tcBorders>
              <w:tl2br w:val="nil"/>
              <w:tr2bl w:val="nil"/>
            </w:tcBorders>
            <w:vAlign w:val="center"/>
          </w:tcPr>
          <w:p/>
        </w:tc>
        <w:tc>
          <w:tcPr>
            <w:tcW w:w="638" w:type="dxa"/>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符号</w:t>
            </w:r>
          </w:p>
        </w:tc>
        <w:tc>
          <w:tcPr>
            <w:tcW w:w="537" w:type="dxa"/>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值</w:t>
            </w:r>
          </w:p>
        </w:tc>
        <w:tc>
          <w:tcPr>
            <w:tcW w:w="575" w:type="dxa"/>
            <w:tcBorders>
              <w:tl2br w:val="nil"/>
              <w:tr2bl w:val="nil"/>
            </w:tcBorders>
            <w:vAlign w:val="center"/>
          </w:tcPr>
          <w:p>
            <w:pPr>
              <w:widowControl/>
              <w:adjustRightInd w:val="0"/>
              <w:snapToGrid w:val="0"/>
              <w:jc w:val="center"/>
              <w:rPr>
                <w:rFonts w:ascii="方正书宋_GBK" w:eastAsia="方正书宋_GBK"/>
                <w:b/>
              </w:rPr>
            </w:pPr>
            <w:r>
              <w:rPr>
                <w:rFonts w:ascii="方正书宋_GBK" w:eastAsia="方正书宋_GBK"/>
                <w:b/>
              </w:rPr>
              <w:t>单位</w:t>
            </w:r>
          </w:p>
        </w:tc>
        <w:tc>
          <w:tcPr>
            <w:tcW w:w="1394"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restart"/>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部门</w:t>
            </w:r>
          </w:p>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产出</w:t>
            </w:r>
          </w:p>
        </w:tc>
        <w:tc>
          <w:tcPr>
            <w:tcW w:w="800" w:type="dxa"/>
            <w:vMerge w:val="restart"/>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数量</w:t>
            </w: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执法监察计划完成率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完成率大于等于100%为满分，100%以下每降低5%，扣除权重分的10%，扣完为止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执法监察工作是否完成年度工作计划</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开展应急演练次数</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开展2次及以上得满分，开展1次得权重分的50%，未开展不得分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年度内开展生产安全事故、防汛、地震等救援演练次数</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次</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教育培训人数</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大于等于2000人次得满分，每少200人次扣除权重分的10%，扣完为止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应急教育培训人数</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2000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人次</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应急宣传集中活动数量</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大于等于2次得满分，每少1次扣除权重分的50%</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考核安全生产月集中宣传日，全国减灾日进行应急宣传活动情况</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次</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考核人数</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大于等于9000人次得满分，每少900人次扣除权重分的10%，扣完为止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考核安全生产管理人员和特种作业人员人数</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9000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人次</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执法检查企业数</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大于等于80家得满分，每少8家扣除权重分的10%，扣完为止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对重点生产经营单位执法检查数量</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80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家</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应急管理信息化系统建成模块数</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完成3个得满分，每减少1个扣权重分的10%，扣完为止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应急管理信息化系统建成模块数</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个</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应急物资装备采购量</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完成30件得满分，每少采购1件扣除权重分的4%，扣完为止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年度应急物资装备采购数量</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szCs w:val="21"/>
                <w14:textFill>
                  <w14:solidFill>
                    <w14:schemeClr w14:val="tx1"/>
                  </w14:solidFill>
                </w14:textFill>
              </w:rPr>
              <w:t>台（套）</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restart"/>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质量</w:t>
            </w: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应急物资装备采购合格率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合格率为100%得满分，每降低4%扣除权重分的10%，扣完为止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采购的应急物资装备符合国家标准的比例</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594" w:hRule="atLeast"/>
          <w:jc w:val="center"/>
        </w:trPr>
        <w:tc>
          <w:tcPr>
            <w:tcW w:w="812"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灾害、事故有效处置率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=100%得满分，每降低4%扣除权重分的10%，扣完为止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灾害、事故按照相关规定处置</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应急指挥系统稳定运行情况</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平稳运行时间的比例大于等于95%得满分，每降低5%扣除权重分的10%，扣完为止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指挥平台平稳运行时间占总运行时间的比例。</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95</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rPr>
                <w:rFonts w:hint="eastAsia" w:ascii="仿宋_GB2312" w:hAnsi="仿宋_GB2312" w:eastAsia="仿宋_GB2312" w:cs="仿宋_GB2312"/>
              </w:rPr>
            </w:pPr>
          </w:p>
        </w:tc>
        <w:tc>
          <w:tcPr>
            <w:tcW w:w="800" w:type="dxa"/>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时效</w:t>
            </w: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各项重点工作按时完成率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按时完成得满分，未按时完成一项扣除权重分的10%，扣完为止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各项重点工作在本年度内按时完成情况</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rPr>
                <w:rFonts w:hint="eastAsia" w:ascii="仿宋_GB2312" w:hAnsi="仿宋_GB2312" w:eastAsia="仿宋_GB2312" w:cs="仿宋_GB2312"/>
              </w:rPr>
            </w:pPr>
          </w:p>
        </w:tc>
        <w:tc>
          <w:tcPr>
            <w:tcW w:w="800" w:type="dxa"/>
            <w:vMerge w:val="restart"/>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成本</w:t>
            </w: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公用经费控制率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“三公”经费实际支出数≤预算安排的三公经费数，得50%权重分，否则不得分；日常公用经费决算数≤日常公用经费调整预算数，得50%权重分，否则不得分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本年度实际支出的公用经费总额小于预算安排的公经费用经费总额。反映和考核对运转成本的实际控制程度</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决算报表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人均培训费用</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小于等于450元得满分，大于450元不得分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每人每天的培训费用</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450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元</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培训管理办法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458" w:hRule="atLeast"/>
          <w:jc w:val="center"/>
        </w:trPr>
        <w:tc>
          <w:tcPr>
            <w:tcW w:w="812" w:type="dxa"/>
            <w:vMerge w:val="continue"/>
            <w:tcBorders>
              <w:tl2br w:val="nil"/>
              <w:tr2bl w:val="nil"/>
            </w:tcBorders>
            <w:vAlign w:val="center"/>
          </w:tcPr>
          <w:p>
            <w:pP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会议住宿用房单价</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小于等于310元得满分，大于310元不得分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会议住宿用房单价</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310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元</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会议管理办法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restart"/>
            <w:tcBorders>
              <w:tl2br w:val="nil"/>
              <w:tr2bl w:val="nil"/>
            </w:tcBorders>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部门</w:t>
            </w:r>
          </w:p>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效果</w:t>
            </w:r>
          </w:p>
        </w:tc>
        <w:tc>
          <w:tcPr>
            <w:tcW w:w="800" w:type="dxa"/>
            <w:vMerge w:val="restart"/>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社会</w:t>
            </w:r>
          </w:p>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效益</w:t>
            </w: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有效预防和减少人民生命财产损失</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比上年下降得满分，比上年上升不得分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降低因自然灾害、安全生产事故造成的人民生命财产损失</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下降</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安全生产事故数和死亡人数下降率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下降率大于0%得满分，等于0%得权重分的80%，小于0%不得分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安全生产事故数和死亡人数与上年相比的下降情况</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从业人员能力和水平</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得到有效提升得满分，未得到不得分</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提升从业人员安全生产能力和水平</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提升</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隐患整改率</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全部整改得满分，每少整改2%扣除权重分的10%，扣完为止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整改率=（完成整改数/排查隐患总数）*100%</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100</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14" w:hRule="atLeast"/>
          <w:jc w:val="center"/>
        </w:trPr>
        <w:tc>
          <w:tcPr>
            <w:tcW w:w="812" w:type="dxa"/>
            <w:vMerge w:val="continue"/>
            <w:tcBorders>
              <w:tl2br w:val="nil"/>
              <w:tr2bl w:val="nil"/>
            </w:tcBorders>
            <w:vAlign w:val="center"/>
          </w:tcPr>
          <w:p>
            <w:pPr>
              <w:adjustRightInd w:val="0"/>
              <w:snapToGrid w:val="0"/>
              <w:jc w:val="center"/>
              <w:rPr>
                <w:rFonts w:hint="eastAsia" w:ascii="仿宋_GB2312" w:hAnsi="仿宋_GB2312" w:eastAsia="仿宋_GB2312" w:cs="仿宋_GB2312"/>
              </w:rPr>
            </w:pPr>
          </w:p>
        </w:tc>
        <w:tc>
          <w:tcPr>
            <w:tcW w:w="800" w:type="dxa"/>
            <w:vMerge w:val="continue"/>
            <w:tcBorders>
              <w:tl2br w:val="nil"/>
              <w:tr2bl w:val="nil"/>
            </w:tcBorders>
            <w:vAlign w:val="center"/>
          </w:tcPr>
          <w:p>
            <w:pPr>
              <w:widowControl/>
              <w:adjustRightInd w:val="0"/>
              <w:snapToGrid w:val="0"/>
              <w:jc w:val="center"/>
              <w:rPr>
                <w:rFonts w:hint="eastAsia" w:ascii="仿宋_GB2312" w:hAnsi="仿宋_GB2312" w:eastAsia="仿宋_GB2312" w:cs="仿宋_GB2312"/>
              </w:rPr>
            </w:pPr>
          </w:p>
        </w:tc>
        <w:tc>
          <w:tcPr>
            <w:tcW w:w="2075"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应急宣传受众人数</w:t>
            </w:r>
          </w:p>
        </w:tc>
        <w:tc>
          <w:tcPr>
            <w:tcW w:w="4213"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受众人数大于等于10万人次得满分，每减少1万人次扣除权重分的20%，扣完为止</w:t>
            </w:r>
          </w:p>
        </w:tc>
        <w:tc>
          <w:tcPr>
            <w:tcW w:w="301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应急宣传受众人数</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10万</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人次</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604" w:hRule="atLeast"/>
          <w:jc w:val="center"/>
        </w:trPr>
        <w:tc>
          <w:tcPr>
            <w:tcW w:w="812" w:type="dxa"/>
            <w:vMerge w:val="continue"/>
            <w:tcBorders>
              <w:tl2br w:val="nil"/>
              <w:tr2bl w:val="nil"/>
            </w:tcBorders>
            <w:vAlign w:val="center"/>
          </w:tcPr>
          <w:p>
            <w:pPr>
              <w:rPr>
                <w:rFonts w:hint="eastAsia" w:ascii="仿宋_GB2312" w:hAnsi="仿宋_GB2312" w:eastAsia="仿宋_GB2312" w:cs="仿宋_GB2312"/>
              </w:rPr>
            </w:pPr>
          </w:p>
        </w:tc>
        <w:tc>
          <w:tcPr>
            <w:tcW w:w="800" w:type="dxa"/>
            <w:tcBorders>
              <w:tl2br w:val="nil"/>
              <w:tr2bl w:val="nil"/>
            </w:tcBorders>
            <w:vAlign w:val="center"/>
          </w:tcPr>
          <w:p>
            <w:pPr>
              <w:widowControl/>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满意度</w:t>
            </w:r>
          </w:p>
        </w:tc>
        <w:tc>
          <w:tcPr>
            <w:tcW w:w="2075" w:type="dxa"/>
            <w:tcBorders>
              <w:tl2br w:val="nil"/>
              <w:tr2bl w:val="nil"/>
            </w:tcBorders>
            <w:noWrap/>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服务对象满意度</w:t>
            </w:r>
          </w:p>
        </w:tc>
        <w:tc>
          <w:tcPr>
            <w:tcW w:w="4213" w:type="dxa"/>
            <w:tcBorders>
              <w:tl2br w:val="nil"/>
              <w:tr2bl w:val="nil"/>
            </w:tcBorders>
            <w:noWrap/>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满意度大于等于95%得满分，每减少5%扣除权重分的10%，扣完为止</w:t>
            </w:r>
          </w:p>
        </w:tc>
        <w:tc>
          <w:tcPr>
            <w:tcW w:w="3014" w:type="dxa"/>
            <w:tcBorders>
              <w:tl2br w:val="nil"/>
              <w:tr2bl w:val="nil"/>
            </w:tcBorders>
            <w:noWrap/>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服务对象满意度</w:t>
            </w:r>
          </w:p>
        </w:tc>
        <w:tc>
          <w:tcPr>
            <w:tcW w:w="638"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537"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95</w:t>
            </w:r>
          </w:p>
        </w:tc>
        <w:tc>
          <w:tcPr>
            <w:tcW w:w="575" w:type="dxa"/>
            <w:tcBorders>
              <w:tl2br w:val="nil"/>
              <w:tr2bl w:val="nil"/>
            </w:tcBorders>
            <w:vAlign w:val="center"/>
          </w:tcPr>
          <w:p>
            <w:pPr>
              <w:overflowPunct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394" w:type="dxa"/>
            <w:tcBorders>
              <w:tl2br w:val="nil"/>
              <w:tr2bl w:val="nil"/>
            </w:tcBorders>
            <w:vAlign w:val="center"/>
          </w:tcPr>
          <w:p>
            <w:pPr>
              <w:overflowPunct w:val="0"/>
              <w:adjustRightInd w:val="0"/>
              <w:snapToGrid w:val="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21"/>
                <w14:textFill>
                  <w14:solidFill>
                    <w14:schemeClr w14:val="tx1"/>
                  </w14:solidFill>
                </w14:textFill>
              </w:rPr>
              <w:t>调查问卷</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line="584"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资金绩效目标</w:t>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1.应急管理信息平台设备购置专项资金绩效目标表</w:t>
      </w:r>
      <w:bookmarkStart w:id="0" w:name="_Toc29799657"/>
      <w:bookmarkEnd w:id="0"/>
    </w:p>
    <w:tbl>
      <w:tblPr>
        <w:tblStyle w:val="8"/>
        <w:tblW w:w="14062" w:type="dxa"/>
        <w:jc w:val="center"/>
        <w:tblInd w:w="-46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7"/>
        <w:gridCol w:w="2225"/>
        <w:gridCol w:w="2810"/>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2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35"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b w:val="0"/>
                <w:bCs/>
              </w:rPr>
              <w:t>2021 年 12 月底前完成本项目下所有系统的交付使用。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2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81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27"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2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数量指标</w:t>
            </w:r>
          </w:p>
        </w:tc>
        <w:tc>
          <w:tcPr>
            <w:tcW w:w="2810"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构成模块数</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整套系统由 3 个模块构成</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3 个</w:t>
            </w:r>
          </w:p>
        </w:tc>
        <w:tc>
          <w:tcPr>
            <w:tcW w:w="215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27" w:type="dxa"/>
            <w:vMerge w:val="continue"/>
            <w:shd w:val="clear" w:color="auto" w:fill="auto"/>
            <w:vAlign w:val="center"/>
          </w:tcPr>
          <w:p>
            <w:pPr>
              <w:spacing w:line="300" w:lineRule="exact"/>
              <w:jc w:val="center"/>
              <w:rPr>
                <w:rFonts w:ascii="Times New Roman" w:hAnsi="Times New Roman" w:eastAsia="仿宋_GB2312" w:cs="Times New Roman"/>
              </w:rPr>
            </w:pPr>
          </w:p>
        </w:tc>
        <w:tc>
          <w:tcPr>
            <w:tcW w:w="222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质量指标</w:t>
            </w:r>
          </w:p>
        </w:tc>
        <w:tc>
          <w:tcPr>
            <w:tcW w:w="2810"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错误率</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系统投用后能够平稳运行，错误率小于 5%</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≤5%</w:t>
            </w:r>
          </w:p>
        </w:tc>
        <w:tc>
          <w:tcPr>
            <w:tcW w:w="215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27" w:type="dxa"/>
            <w:vMerge w:val="continue"/>
            <w:shd w:val="clear" w:color="auto" w:fill="auto"/>
            <w:vAlign w:val="center"/>
          </w:tcPr>
          <w:p>
            <w:pPr>
              <w:spacing w:line="300" w:lineRule="exact"/>
              <w:jc w:val="center"/>
              <w:rPr>
                <w:rFonts w:ascii="Times New Roman" w:hAnsi="Times New Roman" w:eastAsia="仿宋_GB2312" w:cs="Times New Roman"/>
              </w:rPr>
            </w:pPr>
          </w:p>
        </w:tc>
        <w:tc>
          <w:tcPr>
            <w:tcW w:w="222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时效指标</w:t>
            </w:r>
          </w:p>
        </w:tc>
        <w:tc>
          <w:tcPr>
            <w:tcW w:w="2810"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按计划时间完成率</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2021年12月31日前投入使用</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100%</w:t>
            </w:r>
          </w:p>
        </w:tc>
        <w:tc>
          <w:tcPr>
            <w:tcW w:w="215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27" w:type="dxa"/>
            <w:vMerge w:val="continue"/>
            <w:shd w:val="clear" w:color="auto" w:fill="auto"/>
            <w:vAlign w:val="center"/>
          </w:tcPr>
          <w:p>
            <w:pPr>
              <w:spacing w:line="300" w:lineRule="exact"/>
              <w:jc w:val="center"/>
              <w:rPr>
                <w:rFonts w:ascii="Times New Roman" w:hAnsi="Times New Roman" w:eastAsia="仿宋_GB2312" w:cs="Times New Roman"/>
              </w:rPr>
            </w:pPr>
          </w:p>
        </w:tc>
        <w:tc>
          <w:tcPr>
            <w:tcW w:w="222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成本指标</w:t>
            </w:r>
          </w:p>
        </w:tc>
        <w:tc>
          <w:tcPr>
            <w:tcW w:w="2810"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控制预算金额内</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控制预算金额内</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≤40 万元</w:t>
            </w:r>
          </w:p>
        </w:tc>
        <w:tc>
          <w:tcPr>
            <w:tcW w:w="215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27"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2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社会效益指标</w:t>
            </w:r>
          </w:p>
        </w:tc>
        <w:tc>
          <w:tcPr>
            <w:tcW w:w="2810"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提高应急管理信息化水平</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提高全市应急管理能力和水平</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提高全市应急管理能力和水平</w:t>
            </w:r>
          </w:p>
        </w:tc>
        <w:tc>
          <w:tcPr>
            <w:tcW w:w="215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27"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2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服务对象满意度指标</w:t>
            </w:r>
          </w:p>
        </w:tc>
        <w:tc>
          <w:tcPr>
            <w:tcW w:w="2810"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用户满意度　</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用户满意度　</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≥95%</w:t>
            </w:r>
          </w:p>
        </w:tc>
        <w:tc>
          <w:tcPr>
            <w:tcW w:w="2155" w:type="dxa"/>
            <w:shd w:val="clear" w:color="auto" w:fill="auto"/>
            <w:vAlign w:val="center"/>
          </w:tcPr>
          <w:p>
            <w:pPr>
              <w:spacing w:line="300" w:lineRule="exact"/>
              <w:jc w:val="left"/>
              <w:rPr>
                <w:rFonts w:ascii="Times New Roman" w:hAnsi="Times New Roman" w:eastAsia="仿宋_GB2312" w:cs="Times New Roman"/>
              </w:rPr>
            </w:pPr>
            <w:r>
              <w:rPr>
                <w:rFonts w:hint="eastAsia" w:ascii="仿宋_GB2312" w:hAnsi="仿宋_GB2312" w:eastAsia="仿宋_GB2312" w:cs="仿宋_GB2312"/>
              </w:rPr>
              <w:t>问卷调查</w:t>
            </w:r>
          </w:p>
        </w:tc>
      </w:tr>
    </w:tbl>
    <w:p>
      <w:pPr>
        <w:topLinePunct/>
        <w:adjustRightInd w:val="0"/>
        <w:snapToGrid w:val="0"/>
        <w:spacing w:line="580" w:lineRule="exact"/>
        <w:ind w:firstLine="1108" w:firstLineChars="396"/>
        <w:jc w:val="left"/>
        <w:rPr>
          <w:rFonts w:hint="eastAsia" w:ascii="仿宋_GB2312" w:hAnsi="仿宋_GB2312" w:eastAsia="仿宋_GB2312" w:cs="仿宋_GB2312"/>
          <w:kern w:val="0"/>
          <w:sz w:val="28"/>
          <w:szCs w:val="28"/>
        </w:rPr>
      </w:pPr>
    </w:p>
    <w:p>
      <w:pPr>
        <w:spacing w:line="14" w:lineRule="exact"/>
        <w:ind w:firstLine="420" w:firstLineChars="200"/>
        <w:jc w:val="center"/>
        <w:rPr>
          <w:rFonts w:ascii="Times New Roman" w:hAnsi="Times New Roman" w:eastAsia="仿宋_GB2312" w:cs="Times New Roman"/>
        </w:rPr>
      </w:pPr>
    </w:p>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2.第一次全国自然灾害综合风险普查工作专班经费绩效目标表</w:t>
      </w:r>
    </w:p>
    <w:p>
      <w:pPr>
        <w:spacing w:line="14" w:lineRule="exact"/>
        <w:ind w:firstLine="420" w:firstLineChars="200"/>
        <w:jc w:val="center"/>
        <w:rPr>
          <w:rFonts w:ascii="Times New Roman" w:hAnsi="Times New Roman" w:eastAsia="仿宋_GB2312" w:cs="Times New Roman"/>
        </w:rPr>
      </w:pPr>
    </w:p>
    <w:tbl>
      <w:tblPr>
        <w:tblStyle w:val="8"/>
        <w:tblW w:w="14083" w:type="dxa"/>
        <w:jc w:val="center"/>
        <w:tblInd w:w="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7"/>
        <w:gridCol w:w="2212"/>
        <w:gridCol w:w="2804"/>
        <w:gridCol w:w="3402"/>
        <w:gridCol w:w="1843"/>
        <w:gridCol w:w="21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3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46" w:type="dxa"/>
            <w:gridSpan w:val="5"/>
            <w:shd w:val="clear" w:color="auto" w:fill="auto"/>
            <w:vAlign w:val="center"/>
          </w:tcPr>
          <w:p>
            <w:pPr>
              <w:spacing w:line="300" w:lineRule="exact"/>
              <w:rPr>
                <w:rFonts w:ascii="Times New Roman" w:hAnsi="Times New Roman" w:eastAsia="仿宋_GB2312" w:cs="Times New Roman"/>
                <w:b/>
              </w:rPr>
            </w:pPr>
            <w:r>
              <w:rPr>
                <w:rFonts w:ascii="Times New Roman" w:hAnsi="Times New Roman" w:eastAsia="仿宋_GB2312" w:cs="Times New Roman"/>
              </w:rPr>
              <w:t>保障第一次全国自然灾害普查工作专班正常运转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3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80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37"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2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804"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保障办公人数</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保障办公人数</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12人</w:t>
            </w:r>
          </w:p>
        </w:tc>
        <w:tc>
          <w:tcPr>
            <w:tcW w:w="218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37" w:type="dxa"/>
            <w:vMerge w:val="continue"/>
            <w:shd w:val="clear" w:color="auto" w:fill="auto"/>
            <w:vAlign w:val="center"/>
          </w:tcPr>
          <w:p>
            <w:pPr>
              <w:rPr>
                <w:rFonts w:hint="eastAsia" w:ascii="仿宋_GB2312" w:hAnsi="仿宋_GB2312" w:eastAsia="仿宋_GB2312" w:cs="仿宋_GB2312"/>
              </w:rPr>
            </w:pPr>
          </w:p>
        </w:tc>
        <w:tc>
          <w:tcPr>
            <w:tcW w:w="22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804"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工作专班运转保障率</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各项日常工作保障率</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18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37" w:type="dxa"/>
            <w:vMerge w:val="continue"/>
            <w:shd w:val="clear" w:color="auto" w:fill="auto"/>
            <w:vAlign w:val="center"/>
          </w:tcPr>
          <w:p>
            <w:pPr>
              <w:rPr>
                <w:rFonts w:hint="eastAsia" w:ascii="仿宋_GB2312" w:hAnsi="仿宋_GB2312" w:eastAsia="仿宋_GB2312" w:cs="仿宋_GB2312"/>
              </w:rPr>
            </w:pPr>
          </w:p>
        </w:tc>
        <w:tc>
          <w:tcPr>
            <w:tcW w:w="22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804"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经费保障及时性</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及时保障工作专班各项日常办公需要</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及时保障</w:t>
            </w:r>
          </w:p>
        </w:tc>
        <w:tc>
          <w:tcPr>
            <w:tcW w:w="218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37" w:type="dxa"/>
            <w:vMerge w:val="continue"/>
            <w:shd w:val="clear" w:color="auto" w:fill="auto"/>
            <w:vAlign w:val="center"/>
          </w:tcPr>
          <w:p>
            <w:pPr>
              <w:rPr>
                <w:rFonts w:hint="eastAsia" w:ascii="仿宋_GB2312" w:hAnsi="仿宋_GB2312" w:eastAsia="仿宋_GB2312" w:cs="仿宋_GB2312"/>
              </w:rPr>
            </w:pPr>
          </w:p>
        </w:tc>
        <w:tc>
          <w:tcPr>
            <w:tcW w:w="22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804"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专班日常经费开支标准</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办公设备购置、资料印刷、场地租赁等公用经费的开支标准</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按统一规定执行</w:t>
            </w:r>
          </w:p>
        </w:tc>
        <w:tc>
          <w:tcPr>
            <w:tcW w:w="218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37"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2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804"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保障工作专班日常工作需要</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保障工作专班日常工作需要，维持专班正常运转</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维持工作专班正常运转</w:t>
            </w:r>
          </w:p>
        </w:tc>
        <w:tc>
          <w:tcPr>
            <w:tcW w:w="218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37"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2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804"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218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问卷调查</w:t>
            </w:r>
          </w:p>
        </w:tc>
      </w:tr>
    </w:tbl>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3.应急管理专项业务经费绩效目标表</w:t>
      </w:r>
    </w:p>
    <w:p>
      <w:pPr>
        <w:spacing w:line="14" w:lineRule="exact"/>
        <w:ind w:firstLine="420" w:firstLineChars="200"/>
        <w:jc w:val="center"/>
        <w:rPr>
          <w:rFonts w:ascii="Times New Roman" w:hAnsi="Times New Roman" w:eastAsia="仿宋_GB2312" w:cs="Times New Roman"/>
        </w:rPr>
      </w:pPr>
    </w:p>
    <w:tbl>
      <w:tblPr>
        <w:tblStyle w:val="8"/>
        <w:tblW w:w="14096" w:type="dxa"/>
        <w:jc w:val="center"/>
        <w:tblInd w:w="-4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6"/>
        <w:gridCol w:w="2188"/>
        <w:gridCol w:w="3226"/>
        <w:gridCol w:w="3402"/>
        <w:gridCol w:w="1843"/>
        <w:gridCol w:w="17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56"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40"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通过项目的开展，有效遏制重特大生产安全事故发生，维护全市安全生产形势稳定，提升防灾减灾及应急救援能力。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56"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8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226"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78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救援队员数量增长率</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救援队员数量与上年度比值</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微信公众号、官方微博更新次数</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微信公众号、官方微博更新次数</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≥300次</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科普活动参与人次</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开展科普宣传活动总参与人次</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≥5000人次</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行政复议、诉讼率</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在行政执法中因被管理对象不服，提出复议或诉讼的比例</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行政许可法、行政复议法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救援队员业务素质达标率</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救援队员业务素质达标率</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生产安全事故调查依法结案率</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生产安全事故调查在法定时限内结案</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《生产安全事故报告和调查处理条例》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按计划完成率</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各项工作按照全年工作计划或市委、市政府、省应急厅要求的时限完成率。</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2021年工作要点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vMerge w:val="continue"/>
            <w:shd w:val="clear" w:color="auto" w:fill="auto"/>
            <w:vAlign w:val="center"/>
          </w:tcPr>
          <w:p>
            <w:pPr>
              <w:rPr>
                <w:rFonts w:hint="eastAsia" w:ascii="仿宋_GB2312" w:hAnsi="仿宋_GB2312" w:eastAsia="仿宋_GB2312" w:cs="仿宋_GB2312"/>
              </w:rPr>
            </w:pP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控制在预算金额内</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压缩监管成本，减少经费支出。</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≤605.45万元</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提升全市防灾减灾能力和水平</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全市安全生产形势稳定提升全市防灾减灾能力和水平。</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全市安全生产形势稳定提升全市防灾减灾能力和水平。</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56"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322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178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问卷调查</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4.应急管理专项工作保障经费绩效目标表</w:t>
      </w:r>
    </w:p>
    <w:p>
      <w:pPr>
        <w:spacing w:line="14" w:lineRule="exact"/>
        <w:ind w:firstLine="420" w:firstLineChars="200"/>
        <w:jc w:val="center"/>
        <w:rPr>
          <w:rFonts w:ascii="Times New Roman" w:hAnsi="Times New Roman" w:eastAsia="仿宋_GB2312" w:cs="Times New Roman"/>
        </w:rPr>
      </w:pPr>
    </w:p>
    <w:tbl>
      <w:tblPr>
        <w:tblStyle w:val="8"/>
        <w:tblW w:w="14120" w:type="dxa"/>
        <w:jc w:val="center"/>
        <w:tblInd w:w="-2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1"/>
        <w:gridCol w:w="2162"/>
        <w:gridCol w:w="3103"/>
        <w:gridCol w:w="3402"/>
        <w:gridCol w:w="1843"/>
        <w:gridCol w:w="1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8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39" w:type="dxa"/>
            <w:gridSpan w:val="5"/>
            <w:shd w:val="clear" w:color="auto" w:fill="auto"/>
            <w:vAlign w:val="center"/>
          </w:tcPr>
          <w:p>
            <w:pPr>
              <w:spacing w:line="300" w:lineRule="exact"/>
              <w:rPr>
                <w:rFonts w:ascii="Times New Roman" w:hAnsi="Times New Roman" w:eastAsia="仿宋_GB2312" w:cs="Times New Roman"/>
                <w:b/>
              </w:rPr>
            </w:pPr>
            <w:r>
              <w:rPr>
                <w:rFonts w:ascii="Times New Roman" w:hAnsi="Times New Roman" w:eastAsia="仿宋_GB2312" w:cs="Times New Roman"/>
              </w:rPr>
              <w:t>通过项目的开展全面保障安全生产和应急管理各专项业务正常开展，遏制重特大生产安全事故发生，维护全市安全生产形势稳定，提升防灾减灾及应急救援能力。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68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6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10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92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81"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16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数量指标</w:t>
            </w:r>
          </w:p>
        </w:tc>
        <w:tc>
          <w:tcPr>
            <w:tcW w:w="310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专用设备及时维修维护率</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保障专用设备及时维修维护，运行正常</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100%</w:t>
            </w:r>
          </w:p>
        </w:tc>
        <w:tc>
          <w:tcPr>
            <w:tcW w:w="1929"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81" w:type="dxa"/>
            <w:vMerge w:val="continue"/>
            <w:shd w:val="clear" w:color="auto" w:fill="auto"/>
            <w:vAlign w:val="center"/>
          </w:tcPr>
          <w:p/>
        </w:tc>
        <w:tc>
          <w:tcPr>
            <w:tcW w:w="216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质量指标</w:t>
            </w:r>
          </w:p>
        </w:tc>
        <w:tc>
          <w:tcPr>
            <w:tcW w:w="310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许可证等印刷品保障率</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根据业务开展需要提供印刷保障</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100%</w:t>
            </w:r>
          </w:p>
        </w:tc>
        <w:tc>
          <w:tcPr>
            <w:tcW w:w="1929"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81" w:type="dxa"/>
            <w:vMerge w:val="continue"/>
            <w:shd w:val="clear" w:color="auto" w:fill="auto"/>
            <w:vAlign w:val="center"/>
          </w:tcPr>
          <w:p/>
        </w:tc>
        <w:tc>
          <w:tcPr>
            <w:tcW w:w="216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时效指标</w:t>
            </w:r>
          </w:p>
        </w:tc>
        <w:tc>
          <w:tcPr>
            <w:tcW w:w="310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运行保障工作按时完成率</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运行保障工作按时完成率</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≥95%</w:t>
            </w:r>
          </w:p>
        </w:tc>
        <w:tc>
          <w:tcPr>
            <w:tcW w:w="1929"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2021年工作要点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81" w:type="dxa"/>
            <w:vMerge w:val="continue"/>
            <w:shd w:val="clear" w:color="auto" w:fill="auto"/>
            <w:vAlign w:val="center"/>
          </w:tcPr>
          <w:p/>
        </w:tc>
        <w:tc>
          <w:tcPr>
            <w:tcW w:w="216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成本指标</w:t>
            </w:r>
          </w:p>
        </w:tc>
        <w:tc>
          <w:tcPr>
            <w:tcW w:w="310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控制在预算金额内</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压缩监管成本，减少经费支出。</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≤194.93万元</w:t>
            </w:r>
          </w:p>
        </w:tc>
        <w:tc>
          <w:tcPr>
            <w:tcW w:w="1929"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81"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16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社会效益指标</w:t>
            </w:r>
          </w:p>
        </w:tc>
        <w:tc>
          <w:tcPr>
            <w:tcW w:w="310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应急保障能力提升。</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全市安全生产形势稳定，应急保障能力提升。</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全市安全生产形势稳定，应急保障能力提升。</w:t>
            </w:r>
          </w:p>
        </w:tc>
        <w:tc>
          <w:tcPr>
            <w:tcW w:w="1929"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681"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16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服务对象满意度指标</w:t>
            </w:r>
          </w:p>
        </w:tc>
        <w:tc>
          <w:tcPr>
            <w:tcW w:w="310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服务对象满意度</w:t>
            </w:r>
          </w:p>
        </w:tc>
        <w:tc>
          <w:tcPr>
            <w:tcW w:w="3402"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服务对象满意度</w:t>
            </w:r>
          </w:p>
        </w:tc>
        <w:tc>
          <w:tcPr>
            <w:tcW w:w="1843"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≥95%</w:t>
            </w:r>
          </w:p>
        </w:tc>
        <w:tc>
          <w:tcPr>
            <w:tcW w:w="1929" w:type="dxa"/>
            <w:shd w:val="clear" w:color="auto" w:fill="auto"/>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问卷调查</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5.安全生产重特大事故救援演练专项经费绩效目标表</w:t>
      </w:r>
    </w:p>
    <w:p>
      <w:pPr>
        <w:spacing w:line="14" w:lineRule="exact"/>
        <w:ind w:firstLine="420" w:firstLineChars="200"/>
        <w:jc w:val="center"/>
        <w:rPr>
          <w:rFonts w:ascii="Times New Roman" w:hAnsi="Times New Roman" w:eastAsia="仿宋_GB2312" w:cs="Times New Roman"/>
        </w:rPr>
      </w:pPr>
    </w:p>
    <w:tbl>
      <w:tblPr>
        <w:tblStyle w:val="8"/>
        <w:tblW w:w="14170" w:type="dxa"/>
        <w:jc w:val="center"/>
        <w:tblInd w:w="-1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1"/>
        <w:gridCol w:w="2137"/>
        <w:gridCol w:w="2986"/>
        <w:gridCol w:w="3402"/>
        <w:gridCol w:w="1843"/>
        <w:gridCol w:w="20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3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39"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通过项目的开展完成锻炼应急救援队伍，实现应急处置能力的提升。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3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3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986"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07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演练次数　</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演练次数　</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1次</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vMerge w:val="continue"/>
            <w:shd w:val="clear" w:color="auto" w:fill="auto"/>
            <w:vAlign w:val="center"/>
          </w:tcPr>
          <w:p>
            <w:pPr>
              <w:spacing w:line="300" w:lineRule="exact"/>
              <w:jc w:val="center"/>
              <w:rPr>
                <w:rFonts w:hint="eastAsia" w:ascii="仿宋_GB2312" w:hAnsi="仿宋_GB2312" w:eastAsia="仿宋_GB2312" w:cs="仿宋_GB2312"/>
              </w:rPr>
            </w:pP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参演人数</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参演人数</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400人</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vMerge w:val="continue"/>
            <w:shd w:val="clear" w:color="auto" w:fill="auto"/>
            <w:vAlign w:val="center"/>
          </w:tcPr>
          <w:p>
            <w:pPr>
              <w:spacing w:line="300" w:lineRule="exact"/>
              <w:jc w:val="center"/>
              <w:rPr>
                <w:rFonts w:hint="eastAsia" w:ascii="仿宋_GB2312" w:hAnsi="仿宋_GB2312" w:eastAsia="仿宋_GB2312" w:cs="仿宋_GB2312"/>
              </w:rPr>
            </w:pP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演练规范程度　</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演练流程规范率</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vMerge w:val="continue"/>
            <w:shd w:val="clear" w:color="auto" w:fill="auto"/>
            <w:vAlign w:val="center"/>
          </w:tcPr>
          <w:p>
            <w:pPr>
              <w:rPr>
                <w:rFonts w:hint="eastAsia" w:ascii="仿宋_GB2312" w:hAnsi="仿宋_GB2312" w:eastAsia="仿宋_GB2312" w:cs="仿宋_GB2312"/>
              </w:rPr>
            </w:pP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完成时间</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按时完成率　</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vMerge w:val="continue"/>
            <w:shd w:val="clear" w:color="auto" w:fill="auto"/>
            <w:vAlign w:val="center"/>
          </w:tcPr>
          <w:p>
            <w:pPr>
              <w:rPr>
                <w:rFonts w:hint="eastAsia" w:ascii="仿宋_GB2312" w:hAnsi="仿宋_GB2312" w:eastAsia="仿宋_GB2312" w:cs="仿宋_GB2312"/>
              </w:rPr>
            </w:pP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参演人员劳务费</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300元/人×400人</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12万元</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提高应急处置能力</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突发事件应急处置完成率</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31"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986"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参演人员认可程度</w:t>
            </w:r>
          </w:p>
        </w:tc>
        <w:tc>
          <w:tcPr>
            <w:tcW w:w="340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参演人员满意率　</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2071"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问卷调查</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bookmarkStart w:id="3" w:name="_GoBack"/>
      <w:bookmarkEnd w:id="3"/>
      <w:r>
        <w:rPr>
          <w:rFonts w:hint="eastAsia" w:ascii="仿宋_GB2312" w:hAnsi="仿宋_GB2312" w:eastAsia="仿宋_GB2312" w:cs="仿宋_GB2312"/>
          <w:kern w:val="0"/>
          <w:sz w:val="28"/>
          <w:szCs w:val="28"/>
        </w:rPr>
        <w:t>6.安全生产执法队经费绩效目标表</w:t>
      </w:r>
    </w:p>
    <w:p>
      <w:pPr>
        <w:spacing w:line="14" w:lineRule="exact"/>
        <w:ind w:firstLine="420" w:firstLineChars="200"/>
        <w:jc w:val="center"/>
        <w:rPr>
          <w:rFonts w:ascii="Times New Roman" w:hAnsi="Times New Roman" w:eastAsia="仿宋_GB2312" w:cs="Times New Roman"/>
        </w:rPr>
      </w:pPr>
    </w:p>
    <w:tbl>
      <w:tblPr>
        <w:tblStyle w:val="8"/>
        <w:tblW w:w="14191" w:type="dxa"/>
        <w:jc w:val="center"/>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2138"/>
        <w:gridCol w:w="2512"/>
        <w:gridCol w:w="3813"/>
        <w:gridCol w:w="1050"/>
        <w:gridCol w:w="29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5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38"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解决好安全生产监管监察力量不足与监管监察新形势新任务的要求不相适应的问题。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5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3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5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81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05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9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53"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3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5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劳务派遣人数</w:t>
            </w:r>
          </w:p>
        </w:tc>
        <w:tc>
          <w:tcPr>
            <w:tcW w:w="3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劳务派遣人数</w:t>
            </w:r>
          </w:p>
        </w:tc>
        <w:tc>
          <w:tcPr>
            <w:tcW w:w="10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25人</w:t>
            </w:r>
          </w:p>
        </w:tc>
        <w:tc>
          <w:tcPr>
            <w:tcW w:w="29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53" w:type="dxa"/>
            <w:vMerge w:val="continue"/>
            <w:shd w:val="clear" w:color="auto" w:fill="auto"/>
            <w:vAlign w:val="center"/>
          </w:tcPr>
          <w:p>
            <w:pPr>
              <w:rPr>
                <w:rFonts w:hint="eastAsia" w:ascii="仿宋_GB2312" w:hAnsi="仿宋_GB2312" w:eastAsia="仿宋_GB2312" w:cs="仿宋_GB2312"/>
              </w:rPr>
            </w:pPr>
          </w:p>
        </w:tc>
        <w:tc>
          <w:tcPr>
            <w:tcW w:w="213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5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对劳务派遣人员考核合格率</w:t>
            </w:r>
          </w:p>
        </w:tc>
        <w:tc>
          <w:tcPr>
            <w:tcW w:w="3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按规定对劳务派遣人员进行定期考核</w:t>
            </w:r>
          </w:p>
        </w:tc>
        <w:tc>
          <w:tcPr>
            <w:tcW w:w="10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29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53" w:type="dxa"/>
            <w:vMerge w:val="continue"/>
            <w:shd w:val="clear" w:color="auto" w:fill="auto"/>
            <w:vAlign w:val="center"/>
          </w:tcPr>
          <w:p>
            <w:pPr>
              <w:rPr>
                <w:rFonts w:hint="eastAsia" w:ascii="仿宋_GB2312" w:hAnsi="仿宋_GB2312" w:eastAsia="仿宋_GB2312" w:cs="仿宋_GB2312"/>
              </w:rPr>
            </w:pPr>
          </w:p>
        </w:tc>
        <w:tc>
          <w:tcPr>
            <w:tcW w:w="213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5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基本工资及保险保障率</w:t>
            </w:r>
          </w:p>
        </w:tc>
        <w:tc>
          <w:tcPr>
            <w:tcW w:w="3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基本工资及保险按下发薪按时按月发放到位</w:t>
            </w:r>
          </w:p>
        </w:tc>
        <w:tc>
          <w:tcPr>
            <w:tcW w:w="10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9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53" w:type="dxa"/>
            <w:vMerge w:val="continue"/>
            <w:shd w:val="clear" w:color="auto" w:fill="auto"/>
            <w:vAlign w:val="center"/>
          </w:tcPr>
          <w:p>
            <w:pPr>
              <w:rPr>
                <w:rFonts w:hint="eastAsia" w:ascii="仿宋_GB2312" w:hAnsi="仿宋_GB2312" w:eastAsia="仿宋_GB2312" w:cs="仿宋_GB2312"/>
              </w:rPr>
            </w:pPr>
          </w:p>
        </w:tc>
        <w:tc>
          <w:tcPr>
            <w:tcW w:w="213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5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劳务派遣人员劳务费</w:t>
            </w:r>
          </w:p>
        </w:tc>
        <w:tc>
          <w:tcPr>
            <w:tcW w:w="3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4500元/人/月*12个月*25人=135万元</w:t>
            </w:r>
          </w:p>
        </w:tc>
        <w:tc>
          <w:tcPr>
            <w:tcW w:w="10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135万元</w:t>
            </w:r>
          </w:p>
        </w:tc>
        <w:tc>
          <w:tcPr>
            <w:tcW w:w="29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53"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3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5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劳务派遣人员稳定</w:t>
            </w:r>
          </w:p>
        </w:tc>
        <w:tc>
          <w:tcPr>
            <w:tcW w:w="3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劳务派遣人员稳定</w:t>
            </w:r>
          </w:p>
        </w:tc>
        <w:tc>
          <w:tcPr>
            <w:tcW w:w="10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稳定</w:t>
            </w:r>
          </w:p>
        </w:tc>
        <w:tc>
          <w:tcPr>
            <w:tcW w:w="29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53"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3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5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劳务派遣人员满意度</w:t>
            </w:r>
          </w:p>
        </w:tc>
        <w:tc>
          <w:tcPr>
            <w:tcW w:w="3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劳务派遣人员满意度</w:t>
            </w:r>
          </w:p>
        </w:tc>
        <w:tc>
          <w:tcPr>
            <w:tcW w:w="10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29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问卷调查</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7.安全生产专项整治三年行动专项资金绩效目标表</w:t>
      </w:r>
    </w:p>
    <w:p>
      <w:pPr>
        <w:spacing w:line="14" w:lineRule="exact"/>
        <w:ind w:firstLine="420" w:firstLineChars="200"/>
        <w:jc w:val="center"/>
        <w:rPr>
          <w:rFonts w:ascii="Times New Roman" w:hAnsi="Times New Roman" w:eastAsia="仿宋_GB2312" w:cs="Times New Roman"/>
        </w:rPr>
      </w:pPr>
    </w:p>
    <w:tbl>
      <w:tblPr>
        <w:tblStyle w:val="8"/>
        <w:tblW w:w="14208" w:type="dxa"/>
        <w:jc w:val="center"/>
        <w:tblInd w:w="-1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5"/>
        <w:gridCol w:w="2112"/>
        <w:gridCol w:w="2788"/>
        <w:gridCol w:w="3535"/>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7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3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建立完善隐患排查治理“一张网”信息化管理系统，企业做到自查自报自改，实现动态分析、全过程记录管理和评价，防止漏管失控。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7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78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53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5"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7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组织开展的行业领域主管部门数</w:t>
            </w:r>
          </w:p>
        </w:tc>
        <w:tc>
          <w:tcPr>
            <w:tcW w:w="353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指导、推动、督促全市安全生产专项整治三年行动重大政策措施、重点工作任务落地落实。</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13个</w:t>
            </w:r>
          </w:p>
        </w:tc>
        <w:tc>
          <w:tcPr>
            <w:tcW w:w="215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5" w:type="dxa"/>
            <w:vMerge w:val="continue"/>
            <w:shd w:val="clear" w:color="auto" w:fill="auto"/>
            <w:vAlign w:val="center"/>
          </w:tcPr>
          <w:p>
            <w:pPr>
              <w:rPr>
                <w:rFonts w:hint="eastAsia" w:ascii="仿宋_GB2312" w:hAnsi="仿宋_GB2312" w:eastAsia="仿宋_GB2312" w:cs="仿宋_GB2312"/>
              </w:rPr>
            </w:pPr>
          </w:p>
        </w:tc>
        <w:tc>
          <w:tcPr>
            <w:tcW w:w="21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7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事故起数和死亡人数“双下降”</w:t>
            </w:r>
          </w:p>
        </w:tc>
        <w:tc>
          <w:tcPr>
            <w:tcW w:w="353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事故起数和死亡人数“双下降”</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事故起数和死亡人数“双下降”。</w:t>
            </w:r>
          </w:p>
        </w:tc>
        <w:tc>
          <w:tcPr>
            <w:tcW w:w="215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5" w:type="dxa"/>
            <w:vMerge w:val="continue"/>
            <w:shd w:val="clear" w:color="auto" w:fill="auto"/>
            <w:vAlign w:val="center"/>
          </w:tcPr>
          <w:p>
            <w:pPr>
              <w:rPr>
                <w:rFonts w:hint="eastAsia" w:ascii="仿宋_GB2312" w:hAnsi="仿宋_GB2312" w:eastAsia="仿宋_GB2312" w:cs="仿宋_GB2312"/>
              </w:rPr>
            </w:pPr>
          </w:p>
        </w:tc>
        <w:tc>
          <w:tcPr>
            <w:tcW w:w="21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7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各阶段任务完成率</w:t>
            </w:r>
          </w:p>
        </w:tc>
        <w:tc>
          <w:tcPr>
            <w:tcW w:w="353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按照工作方案时间节点要求，</w:t>
            </w:r>
          </w:p>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各阶段任务完成率</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5" w:type="dxa"/>
            <w:vMerge w:val="continue"/>
            <w:shd w:val="clear" w:color="auto" w:fill="auto"/>
            <w:vAlign w:val="center"/>
          </w:tcPr>
          <w:p>
            <w:pPr>
              <w:rPr>
                <w:rFonts w:hint="eastAsia" w:ascii="仿宋_GB2312" w:hAnsi="仿宋_GB2312" w:eastAsia="仿宋_GB2312" w:cs="仿宋_GB2312"/>
              </w:rPr>
            </w:pPr>
          </w:p>
        </w:tc>
        <w:tc>
          <w:tcPr>
            <w:tcW w:w="21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7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成本支出</w:t>
            </w:r>
          </w:p>
        </w:tc>
        <w:tc>
          <w:tcPr>
            <w:tcW w:w="353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不超过年度预算</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≤33万元</w:t>
            </w:r>
          </w:p>
        </w:tc>
        <w:tc>
          <w:tcPr>
            <w:tcW w:w="215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5"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7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减少生产安全事故起数</w:t>
            </w:r>
          </w:p>
        </w:tc>
        <w:tc>
          <w:tcPr>
            <w:tcW w:w="353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减少生产安全事故起数</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减少生产安全事故起数</w:t>
            </w:r>
          </w:p>
        </w:tc>
        <w:tc>
          <w:tcPr>
            <w:tcW w:w="215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5"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1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78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353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184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≥90%</w:t>
            </w:r>
          </w:p>
        </w:tc>
        <w:tc>
          <w:tcPr>
            <w:tcW w:w="215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调查问卷</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8.2021年省级自然灾害救助专项资金（冀财建〔2020〕295号）绩效目标表</w:t>
      </w:r>
    </w:p>
    <w:p>
      <w:pPr>
        <w:spacing w:line="14" w:lineRule="exact"/>
        <w:ind w:firstLine="420" w:firstLineChars="200"/>
        <w:jc w:val="center"/>
        <w:rPr>
          <w:rFonts w:ascii="Times New Roman" w:hAnsi="Times New Roman" w:eastAsia="仿宋_GB2312" w:cs="Times New Roman"/>
        </w:rPr>
      </w:pPr>
    </w:p>
    <w:tbl>
      <w:tblPr>
        <w:tblStyle w:val="8"/>
        <w:tblW w:w="14243" w:type="dxa"/>
        <w:jc w:val="center"/>
        <w:tblInd w:w="-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9"/>
        <w:gridCol w:w="2125"/>
        <w:gridCol w:w="2800"/>
        <w:gridCol w:w="3663"/>
        <w:gridCol w:w="1637"/>
        <w:gridCol w:w="22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7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64" w:type="dxa"/>
            <w:gridSpan w:val="5"/>
            <w:shd w:val="clear" w:color="auto" w:fill="auto"/>
            <w:vAlign w:val="center"/>
          </w:tcPr>
          <w:p>
            <w:pPr>
              <w:spacing w:line="300" w:lineRule="exact"/>
              <w:rPr>
                <w:rFonts w:hint="eastAsia" w:ascii="仿宋_GB2312" w:hAnsi="仿宋_GB2312" w:eastAsia="仿宋_GB2312" w:cs="仿宋_GB2312"/>
                <w:b/>
              </w:rPr>
            </w:pPr>
            <w:r>
              <w:rPr>
                <w:rFonts w:hint="eastAsia" w:ascii="仿宋_GB2312" w:hAnsi="仿宋_GB2312" w:eastAsia="仿宋_GB2312" w:cs="仿宋_GB2312"/>
              </w:rPr>
              <w:t>通过项目的开展完成锻炼应急救援队伍，实现救灾应急处置能力的提升。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7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80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66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3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23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9"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8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组织演练次数</w:t>
            </w:r>
          </w:p>
        </w:tc>
        <w:tc>
          <w:tcPr>
            <w:tcW w:w="366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组织演练次数</w:t>
            </w:r>
          </w:p>
        </w:tc>
        <w:tc>
          <w:tcPr>
            <w:tcW w:w="16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1次</w:t>
            </w:r>
          </w:p>
        </w:tc>
        <w:tc>
          <w:tcPr>
            <w:tcW w:w="2239"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《自然灾害救助条例》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9"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8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演练规范率</w:t>
            </w:r>
          </w:p>
        </w:tc>
        <w:tc>
          <w:tcPr>
            <w:tcW w:w="366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按照演练流程进行演练</w:t>
            </w:r>
          </w:p>
        </w:tc>
        <w:tc>
          <w:tcPr>
            <w:tcW w:w="16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2239"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《自然灾害救助条例》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9"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8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按时完成率</w:t>
            </w:r>
          </w:p>
        </w:tc>
        <w:tc>
          <w:tcPr>
            <w:tcW w:w="366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在演练计划时间内完成</w:t>
            </w:r>
          </w:p>
        </w:tc>
        <w:tc>
          <w:tcPr>
            <w:tcW w:w="16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按时完成</w:t>
            </w:r>
          </w:p>
        </w:tc>
        <w:tc>
          <w:tcPr>
            <w:tcW w:w="2239"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《自然灾害救助条例》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9"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8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演练成本控制率</w:t>
            </w:r>
          </w:p>
        </w:tc>
        <w:tc>
          <w:tcPr>
            <w:tcW w:w="366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不超过演练预算</w:t>
            </w:r>
          </w:p>
        </w:tc>
        <w:tc>
          <w:tcPr>
            <w:tcW w:w="16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≤10万元</w:t>
            </w:r>
          </w:p>
        </w:tc>
        <w:tc>
          <w:tcPr>
            <w:tcW w:w="2239"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《自然灾害救助条例》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9"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8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提高应急处置能力</w:t>
            </w:r>
          </w:p>
        </w:tc>
        <w:tc>
          <w:tcPr>
            <w:tcW w:w="366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提高突发灾害应急处置能力</w:t>
            </w:r>
          </w:p>
        </w:tc>
        <w:tc>
          <w:tcPr>
            <w:tcW w:w="16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提高</w:t>
            </w:r>
          </w:p>
        </w:tc>
        <w:tc>
          <w:tcPr>
            <w:tcW w:w="2239"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《自然灾害救助条例》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9"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8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366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163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2239"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问卷调查</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9.安全生产举报奖励专项资金绩效目标表</w:t>
      </w:r>
    </w:p>
    <w:p>
      <w:pPr>
        <w:spacing w:line="14" w:lineRule="exact"/>
        <w:ind w:firstLine="420" w:firstLineChars="200"/>
        <w:jc w:val="center"/>
        <w:rPr>
          <w:rFonts w:ascii="Times New Roman" w:hAnsi="Times New Roman" w:eastAsia="仿宋_GB2312" w:cs="Times New Roman"/>
        </w:rPr>
      </w:pPr>
    </w:p>
    <w:tbl>
      <w:tblPr>
        <w:tblStyle w:val="8"/>
        <w:tblW w:w="14229" w:type="dxa"/>
        <w:jc w:val="center"/>
        <w:tblInd w:w="-6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2"/>
        <w:gridCol w:w="2125"/>
        <w:gridCol w:w="2813"/>
        <w:gridCol w:w="3650"/>
        <w:gridCol w:w="1987"/>
        <w:gridCol w:w="18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7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57" w:type="dxa"/>
            <w:gridSpan w:val="5"/>
            <w:shd w:val="clear" w:color="auto" w:fill="auto"/>
            <w:vAlign w:val="center"/>
          </w:tcPr>
          <w:p>
            <w:pPr>
              <w:spacing w:line="300" w:lineRule="exact"/>
              <w:rPr>
                <w:rFonts w:hint="eastAsia" w:ascii="仿宋_GB2312" w:hAnsi="仿宋_GB2312" w:eastAsia="仿宋_GB2312" w:cs="仿宋_GB2312"/>
                <w:b/>
              </w:rPr>
            </w:pPr>
            <w:r>
              <w:rPr>
                <w:rFonts w:hint="eastAsia" w:ascii="仿宋_GB2312" w:hAnsi="仿宋_GB2312" w:eastAsia="仿宋_GB2312" w:cs="仿宋_GB2312"/>
              </w:rPr>
              <w:t>通过举报奖励的兑现，鼓励广大人民群众对安全生产工作参与积极性，加大对安全生产违法行为的打击力度，保障全市安全全生产形势持续稳定。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7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81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65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987"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88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2"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全年受理核实举报案件数量</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全年受理核实举报案件数量</w:t>
            </w:r>
          </w:p>
        </w:tc>
        <w:tc>
          <w:tcPr>
            <w:tcW w:w="198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≥10起</w:t>
            </w:r>
          </w:p>
        </w:tc>
        <w:tc>
          <w:tcPr>
            <w:tcW w:w="188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2"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举报案件调查处理率</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举报案件调查处理率</w:t>
            </w:r>
          </w:p>
        </w:tc>
        <w:tc>
          <w:tcPr>
            <w:tcW w:w="198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88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2"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按时核查率</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在规定时限内完成核查　</w:t>
            </w:r>
          </w:p>
        </w:tc>
        <w:tc>
          <w:tcPr>
            <w:tcW w:w="198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88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2"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成本控制</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不超过当年预算</w:t>
            </w:r>
          </w:p>
        </w:tc>
        <w:tc>
          <w:tcPr>
            <w:tcW w:w="198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≤5万元</w:t>
            </w:r>
          </w:p>
        </w:tc>
        <w:tc>
          <w:tcPr>
            <w:tcW w:w="188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2"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提升事故防范能力</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提升事故防范能力</w:t>
            </w:r>
          </w:p>
        </w:tc>
        <w:tc>
          <w:tcPr>
            <w:tcW w:w="198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提升事故防范能力</w:t>
            </w:r>
          </w:p>
        </w:tc>
        <w:tc>
          <w:tcPr>
            <w:tcW w:w="188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72"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举报人员满意度</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举报人员对举报事办理结果的满意率</w:t>
            </w:r>
          </w:p>
        </w:tc>
        <w:tc>
          <w:tcPr>
            <w:tcW w:w="1987"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≥90%</w:t>
            </w:r>
          </w:p>
        </w:tc>
        <w:tc>
          <w:tcPr>
            <w:tcW w:w="188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调查问卷</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10.应急管理信息平台运行维护经费绩效目标表</w:t>
      </w:r>
    </w:p>
    <w:p>
      <w:pPr>
        <w:spacing w:line="14" w:lineRule="exact"/>
        <w:ind w:firstLine="420" w:firstLineChars="200"/>
        <w:jc w:val="center"/>
        <w:rPr>
          <w:rFonts w:ascii="Times New Roman" w:hAnsi="Times New Roman" w:eastAsia="仿宋_GB2312" w:cs="Times New Roman"/>
        </w:rPr>
      </w:pPr>
    </w:p>
    <w:tbl>
      <w:tblPr>
        <w:tblStyle w:val="8"/>
        <w:tblW w:w="14266" w:type="dxa"/>
        <w:jc w:val="center"/>
        <w:tblInd w:w="-7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1"/>
        <w:gridCol w:w="2125"/>
        <w:gridCol w:w="2813"/>
        <w:gridCol w:w="3662"/>
        <w:gridCol w:w="1975"/>
        <w:gridCol w:w="1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9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75" w:type="dxa"/>
            <w:gridSpan w:val="5"/>
            <w:shd w:val="clear" w:color="auto" w:fill="auto"/>
            <w:vAlign w:val="center"/>
          </w:tcPr>
          <w:p>
            <w:pPr>
              <w:spacing w:line="300" w:lineRule="exact"/>
              <w:rPr>
                <w:rFonts w:hint="eastAsia" w:ascii="仿宋_GB2312" w:hAnsi="仿宋_GB2312" w:eastAsia="仿宋_GB2312" w:cs="仿宋_GB2312"/>
                <w:b/>
              </w:rPr>
            </w:pPr>
            <w:r>
              <w:rPr>
                <w:rFonts w:hint="eastAsia" w:ascii="仿宋_GB2312" w:hAnsi="仿宋_GB2312" w:eastAsia="仿宋_GB2312" w:cs="仿宋_GB2312"/>
              </w:rPr>
              <w:t>通过对设备及系统的有效保障，努力实现各类系统全年无故障运行时间达到300天以上；各类系统故障恢复时间达到48小时以内。关键系统恢复时间达到2小时以内。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9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81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66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97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90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1"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运行时间　</w:t>
            </w:r>
          </w:p>
        </w:tc>
        <w:tc>
          <w:tcPr>
            <w:tcW w:w="36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全年系统无故障运行时间</w:t>
            </w:r>
          </w:p>
        </w:tc>
        <w:tc>
          <w:tcPr>
            <w:tcW w:w="197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≥300天</w:t>
            </w:r>
          </w:p>
        </w:tc>
        <w:tc>
          <w:tcPr>
            <w:tcW w:w="19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1"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工作任务完成情况</w:t>
            </w:r>
          </w:p>
        </w:tc>
        <w:tc>
          <w:tcPr>
            <w:tcW w:w="36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完成率</w:t>
            </w:r>
          </w:p>
        </w:tc>
        <w:tc>
          <w:tcPr>
            <w:tcW w:w="197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9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既定目标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1"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故障恢复时间</w:t>
            </w:r>
          </w:p>
        </w:tc>
        <w:tc>
          <w:tcPr>
            <w:tcW w:w="36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系统故障恢复时间</w:t>
            </w:r>
          </w:p>
        </w:tc>
        <w:tc>
          <w:tcPr>
            <w:tcW w:w="197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&lt;48小时</w:t>
            </w:r>
          </w:p>
        </w:tc>
        <w:tc>
          <w:tcPr>
            <w:tcW w:w="19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1"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不超过当年预算</w:t>
            </w:r>
          </w:p>
        </w:tc>
        <w:tc>
          <w:tcPr>
            <w:tcW w:w="36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不超过当年预算</w:t>
            </w:r>
          </w:p>
        </w:tc>
        <w:tc>
          <w:tcPr>
            <w:tcW w:w="197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≤49.3万元</w:t>
            </w:r>
          </w:p>
        </w:tc>
        <w:tc>
          <w:tcPr>
            <w:tcW w:w="19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1"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系统保障工作</w:t>
            </w:r>
          </w:p>
        </w:tc>
        <w:tc>
          <w:tcPr>
            <w:tcW w:w="36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各系统正常运行</w:t>
            </w:r>
          </w:p>
        </w:tc>
        <w:tc>
          <w:tcPr>
            <w:tcW w:w="197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各系统正常运行</w:t>
            </w:r>
          </w:p>
        </w:tc>
        <w:tc>
          <w:tcPr>
            <w:tcW w:w="19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1"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系统稳定性满意度　</w:t>
            </w:r>
          </w:p>
        </w:tc>
        <w:tc>
          <w:tcPr>
            <w:tcW w:w="36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系统使用人员满意率　</w:t>
            </w:r>
          </w:p>
        </w:tc>
        <w:tc>
          <w:tcPr>
            <w:tcW w:w="197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190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调查问卷</w:t>
            </w:r>
          </w:p>
        </w:tc>
      </w:tr>
    </w:tbl>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p>
    <w:p>
      <w:pPr>
        <w:topLinePunct/>
        <w:adjustRightInd w:val="0"/>
        <w:snapToGrid w:val="0"/>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11.市级自然灾害救助专项资金绩效目标表</w:t>
      </w:r>
    </w:p>
    <w:p>
      <w:pPr>
        <w:spacing w:line="14" w:lineRule="exact"/>
        <w:ind w:firstLine="420" w:firstLineChars="200"/>
        <w:jc w:val="center"/>
        <w:rPr>
          <w:rFonts w:ascii="Times New Roman" w:hAnsi="Times New Roman" w:eastAsia="仿宋_GB2312" w:cs="Times New Roman"/>
        </w:rPr>
      </w:pPr>
    </w:p>
    <w:tbl>
      <w:tblPr>
        <w:tblStyle w:val="8"/>
        <w:tblW w:w="14272" w:type="dxa"/>
        <w:jc w:val="center"/>
        <w:tblInd w:w="-7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4"/>
        <w:gridCol w:w="2125"/>
        <w:gridCol w:w="2813"/>
        <w:gridCol w:w="3650"/>
        <w:gridCol w:w="1962"/>
        <w:gridCol w:w="19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9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478" w:type="dxa"/>
            <w:gridSpan w:val="5"/>
            <w:shd w:val="clear" w:color="auto" w:fill="auto"/>
            <w:vAlign w:val="center"/>
          </w:tcPr>
          <w:p>
            <w:pPr>
              <w:spacing w:line="300" w:lineRule="exact"/>
              <w:rPr>
                <w:rFonts w:hint="eastAsia" w:ascii="仿宋_GB2312" w:hAnsi="仿宋_GB2312" w:eastAsia="仿宋_GB2312" w:cs="仿宋_GB2312"/>
                <w:b/>
              </w:rPr>
            </w:pPr>
            <w:r>
              <w:rPr>
                <w:rFonts w:hint="eastAsia" w:ascii="仿宋_GB2312" w:hAnsi="仿宋_GB2312" w:eastAsia="仿宋_GB2312" w:cs="仿宋_GB2312"/>
              </w:rPr>
              <w:t>确保受灾群众衣、食、住、饮、医基本生活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79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1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81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65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96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92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4" w:type="dxa"/>
            <w:vMerge w:val="restart"/>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数量指标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救助人数</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救助受灾人数</w:t>
            </w:r>
          </w:p>
        </w:tc>
        <w:tc>
          <w:tcPr>
            <w:tcW w:w="19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≥1.5万人</w:t>
            </w:r>
          </w:p>
        </w:tc>
        <w:tc>
          <w:tcPr>
            <w:tcW w:w="192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《河北省自然灾害生活救助资金管理办法》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4"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质量指标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救助资金按标准发放率</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按照国家标准求助</w:t>
            </w:r>
          </w:p>
        </w:tc>
        <w:tc>
          <w:tcPr>
            <w:tcW w:w="19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92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《河北省自然灾害生活救助资金管理办法》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4"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时效指标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按时发放率</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在规定时限内完成救灾资金发放</w:t>
            </w:r>
          </w:p>
        </w:tc>
        <w:tc>
          <w:tcPr>
            <w:tcW w:w="19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100%</w:t>
            </w:r>
          </w:p>
        </w:tc>
        <w:tc>
          <w:tcPr>
            <w:tcW w:w="192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《河北省自然灾害生活救助资金管理办法》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4" w:type="dxa"/>
            <w:vMerge w:val="continue"/>
            <w:shd w:val="clear" w:color="auto" w:fill="auto"/>
            <w:vAlign w:val="center"/>
          </w:tcPr>
          <w:p>
            <w:pPr>
              <w:rPr>
                <w:rFonts w:hint="eastAsia" w:ascii="仿宋_GB2312" w:hAnsi="仿宋_GB2312" w:eastAsia="仿宋_GB2312" w:cs="仿宋_GB2312"/>
              </w:rPr>
            </w:pP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成本指标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测算标准</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按照省、市、县救助资金配套比例4：3：3计算</w:t>
            </w:r>
          </w:p>
        </w:tc>
        <w:tc>
          <w:tcPr>
            <w:tcW w:w="19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≤54万元</w:t>
            </w:r>
          </w:p>
        </w:tc>
        <w:tc>
          <w:tcPr>
            <w:tcW w:w="192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4"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效果指标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灾区稳定</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灾区稳定</w:t>
            </w:r>
          </w:p>
        </w:tc>
        <w:tc>
          <w:tcPr>
            <w:tcW w:w="19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灾区稳定</w:t>
            </w:r>
          </w:p>
        </w:tc>
        <w:tc>
          <w:tcPr>
            <w:tcW w:w="192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《河北省自然灾害生活救助资金管理办法》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794" w:type="dxa"/>
            <w:shd w:val="clear" w:color="auto" w:fill="auto"/>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125"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服务对象满意度指标</w:t>
            </w:r>
          </w:p>
        </w:tc>
        <w:tc>
          <w:tcPr>
            <w:tcW w:w="2813"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群众满意</w:t>
            </w:r>
          </w:p>
        </w:tc>
        <w:tc>
          <w:tcPr>
            <w:tcW w:w="3650"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受灾群众满意度</w:t>
            </w:r>
          </w:p>
        </w:tc>
        <w:tc>
          <w:tcPr>
            <w:tcW w:w="1962"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≥95%</w:t>
            </w:r>
          </w:p>
        </w:tc>
        <w:tc>
          <w:tcPr>
            <w:tcW w:w="1928" w:type="dxa"/>
            <w:shd w:val="clear" w:color="auto" w:fill="auto"/>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调查问卷</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六、政府采购预算情况</w:t>
      </w:r>
    </w:p>
    <w:p>
      <w:pPr>
        <w:topLinePunct/>
        <w:adjustRightInd w:val="0"/>
        <w:snapToGrid w:val="0"/>
        <w:spacing w:line="580" w:lineRule="exact"/>
        <w:ind w:firstLine="640" w:firstLineChars="200"/>
        <w:jc w:val="left"/>
        <w:rPr>
          <w:rFonts w:ascii="仿宋_GB2312" w:hAnsi="仿宋_GB2312" w:eastAsia="仿宋_GB2312" w:cs="仿宋_GB2312"/>
          <w:kern w:val="0"/>
          <w:sz w:val="32"/>
          <w:szCs w:val="32"/>
        </w:rPr>
      </w:pPr>
      <w:bookmarkStart w:id="1" w:name="_Toc471398468"/>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21</w:t>
      </w:r>
      <w:r>
        <w:rPr>
          <w:rFonts w:ascii="仿宋_GB2312" w:hAnsi="仿宋_GB2312" w:eastAsia="仿宋_GB2312" w:cs="仿宋_GB2312"/>
          <w:kern w:val="0"/>
          <w:sz w:val="32"/>
          <w:szCs w:val="32"/>
        </w:rPr>
        <w:t>年，我部门安排政府采购预算</w:t>
      </w:r>
      <w:r>
        <w:rPr>
          <w:rFonts w:hint="eastAsia" w:ascii="仿宋_GB2312" w:hAnsi="仿宋_GB2312" w:eastAsia="仿宋_GB2312" w:cs="仿宋_GB2312"/>
          <w:kern w:val="0"/>
          <w:sz w:val="32"/>
          <w:szCs w:val="32"/>
        </w:rPr>
        <w:t>40</w:t>
      </w:r>
      <w:r>
        <w:rPr>
          <w:rFonts w:ascii="仿宋_GB2312" w:hAnsi="仿宋_GB2312" w:eastAsia="仿宋_GB2312" w:cs="仿宋_GB2312"/>
          <w:kern w:val="0"/>
          <w:sz w:val="32"/>
          <w:szCs w:val="32"/>
        </w:rPr>
        <w:t>万元。具体内容见下表。</w:t>
      </w:r>
    </w:p>
    <w:bookmarkEnd w:id="1"/>
    <w:p>
      <w:pPr>
        <w:spacing w:line="584" w:lineRule="exact"/>
        <w:jc w:val="left"/>
        <w:outlineLvl w:val="0"/>
        <w:rPr>
          <w:rFonts w:ascii="Times New Roman" w:hAnsi="Times New Roman" w:eastAsia="仿宋_GB2312" w:cs="Times New Roman"/>
        </w:rPr>
      </w:pPr>
    </w:p>
    <w:p>
      <w:pPr>
        <w:jc w:val="center"/>
        <w:outlineLvl w:val="1"/>
        <w:rPr>
          <w:rFonts w:ascii="楷体" w:hAnsi="楷体" w:eastAsia="楷体" w:cs="Times New Roman"/>
          <w:b/>
          <w:sz w:val="32"/>
        </w:rPr>
      </w:pPr>
      <w:bookmarkStart w:id="2" w:name="_Toc64920910"/>
      <w:r>
        <w:rPr>
          <w:rFonts w:hint="eastAsia" w:ascii="楷体" w:hAnsi="楷体" w:eastAsia="楷体" w:cs="Times New Roman"/>
          <w:b/>
          <w:sz w:val="32"/>
        </w:rPr>
        <w:t>部门政府采购预算</w:t>
      </w:r>
      <w:bookmarkEnd w:id="2"/>
    </w:p>
    <w:tbl>
      <w:tblPr>
        <w:tblStyle w:val="8"/>
        <w:tblW w:w="1550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cs="Times New Roman"/>
                <w:sz w:val="24"/>
              </w:rPr>
            </w:pPr>
            <w:r>
              <w:rPr>
                <w:rFonts w:hint="eastAsia" w:ascii="方正小标宋_GBK" w:eastAsia="方正小标宋_GBK" w:cs="Times New Roman"/>
                <w:sz w:val="24"/>
              </w:rPr>
              <w:t>721</w:t>
            </w:r>
            <w:r>
              <w:rPr>
                <w:rFonts w:ascii="方正小标宋_GBK" w:eastAsia="方正小标宋_GBK" w:cs="Times New Roman"/>
                <w:sz w:val="24"/>
              </w:rPr>
              <w:t>廊坊市</w:t>
            </w:r>
            <w:r>
              <w:rPr>
                <w:rFonts w:hint="eastAsia" w:ascii="方正小标宋_GBK" w:eastAsia="方正小标宋_GBK" w:cs="Times New Roman"/>
                <w:sz w:val="24"/>
              </w:rPr>
              <w:t>应急管理局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cs="Times New Roman"/>
                <w:sz w:val="24"/>
              </w:rPr>
            </w:pPr>
            <w:r>
              <w:rPr>
                <w:rFonts w:ascii="方正书宋_GBK"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计量单位</w:t>
            </w:r>
          </w:p>
        </w:tc>
        <w:tc>
          <w:tcPr>
            <w:tcW w:w="907"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数量</w:t>
            </w:r>
          </w:p>
        </w:tc>
        <w:tc>
          <w:tcPr>
            <w:tcW w:w="907"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单价</w:t>
            </w:r>
          </w:p>
        </w:tc>
        <w:tc>
          <w:tcPr>
            <w:tcW w:w="6804" w:type="dxa"/>
            <w:gridSpan w:val="6"/>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项目名称</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预算资金</w:t>
            </w:r>
          </w:p>
        </w:tc>
        <w:tc>
          <w:tcPr>
            <w:tcW w:w="1531" w:type="dxa"/>
            <w:vMerge w:val="continue"/>
            <w:shd w:val="clear" w:color="auto" w:fill="auto"/>
            <w:vAlign w:val="center"/>
          </w:tcPr>
          <w:p/>
        </w:tc>
        <w:tc>
          <w:tcPr>
            <w:tcW w:w="1531" w:type="dxa"/>
            <w:vMerge w:val="continue"/>
            <w:shd w:val="clear" w:color="auto" w:fill="auto"/>
            <w:vAlign w:val="center"/>
          </w:tcPr>
          <w:p/>
        </w:tc>
        <w:tc>
          <w:tcPr>
            <w:tcW w:w="709" w:type="dxa"/>
            <w:vMerge w:val="continue"/>
            <w:shd w:val="clear" w:color="auto" w:fill="auto"/>
            <w:vAlign w:val="center"/>
          </w:tcPr>
          <w:p/>
        </w:tc>
        <w:tc>
          <w:tcPr>
            <w:tcW w:w="907" w:type="dxa"/>
            <w:vMerge w:val="continue"/>
            <w:shd w:val="clear" w:color="auto" w:fill="auto"/>
            <w:vAlign w:val="center"/>
          </w:tcPr>
          <w:p/>
        </w:tc>
        <w:tc>
          <w:tcPr>
            <w:tcW w:w="907" w:type="dxa"/>
            <w:vMerge w:val="continue"/>
            <w:shd w:val="clear" w:color="auto" w:fill="auto"/>
            <w:vAlign w:val="center"/>
          </w:tcP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合计</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一般公共预算拨款</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基金预算拨款</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财政专户核拨</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hint="eastAsia" w:ascii="仿宋_GB2312" w:hAnsi="仿宋_GB2312" w:eastAsia="仿宋_GB2312" w:cs="仿宋_GB2312"/>
                <w:b w:val="0"/>
                <w:bCs/>
              </w:rPr>
            </w:pPr>
            <w:r>
              <w:rPr>
                <w:rFonts w:hint="eastAsia" w:ascii="仿宋_GB2312" w:hAnsi="仿宋_GB2312" w:eastAsia="仿宋_GB2312" w:cs="仿宋_GB2312"/>
                <w:b w:val="0"/>
                <w:bCs/>
              </w:rPr>
              <w:t>合</w:t>
            </w:r>
            <w:r>
              <w:rPr>
                <w:rFonts w:hint="eastAsia" w:ascii="仿宋_GB2312" w:hAnsi="仿宋_GB2312" w:eastAsia="仿宋_GB2312" w:cs="仿宋_GB2312"/>
                <w:b w:val="0"/>
                <w:bCs/>
                <w:lang w:val="en-US" w:eastAsia="zh-CN"/>
              </w:rPr>
              <w:t xml:space="preserve">  </w:t>
            </w:r>
            <w:r>
              <w:rPr>
                <w:rFonts w:hint="eastAsia" w:ascii="仿宋_GB2312" w:hAnsi="仿宋_GB2312" w:eastAsia="仿宋_GB2312" w:cs="仿宋_GB2312"/>
                <w:b w:val="0"/>
                <w:bCs/>
              </w:rPr>
              <w:t>计</w:t>
            </w:r>
          </w:p>
        </w:tc>
        <w:tc>
          <w:tcPr>
            <w:tcW w:w="1134" w:type="dxa"/>
            <w:shd w:val="clear" w:color="auto" w:fill="auto"/>
            <w:vAlign w:val="center"/>
          </w:tcPr>
          <w:p>
            <w:pPr>
              <w:spacing w:line="300" w:lineRule="exact"/>
              <w:jc w:val="center"/>
              <w:rPr>
                <w:rFonts w:hint="eastAsia" w:ascii="仿宋_GB2312" w:hAnsi="仿宋_GB2312" w:eastAsia="仿宋_GB2312" w:cs="仿宋_GB2312"/>
                <w:b w:val="0"/>
                <w:bCs/>
                <w:color w:val="C00000"/>
                <w:szCs w:val="21"/>
              </w:rPr>
            </w:pPr>
          </w:p>
        </w:tc>
        <w:tc>
          <w:tcPr>
            <w:tcW w:w="1531" w:type="dxa"/>
            <w:shd w:val="clear" w:color="auto" w:fill="auto"/>
            <w:vAlign w:val="center"/>
          </w:tcPr>
          <w:p>
            <w:pPr>
              <w:spacing w:line="300" w:lineRule="exact"/>
              <w:jc w:val="left"/>
              <w:rPr>
                <w:rFonts w:hint="eastAsia" w:ascii="仿宋_GB2312" w:hAnsi="仿宋_GB2312" w:eastAsia="仿宋_GB2312" w:cs="仿宋_GB2312"/>
                <w:b w:val="0"/>
                <w:bCs/>
                <w:szCs w:val="21"/>
              </w:rPr>
            </w:pPr>
          </w:p>
        </w:tc>
        <w:tc>
          <w:tcPr>
            <w:tcW w:w="1531" w:type="dxa"/>
            <w:shd w:val="clear" w:color="auto" w:fill="auto"/>
            <w:vAlign w:val="center"/>
          </w:tcPr>
          <w:p>
            <w:pPr>
              <w:spacing w:line="300" w:lineRule="exact"/>
              <w:jc w:val="left"/>
              <w:rPr>
                <w:rFonts w:hint="eastAsia" w:ascii="仿宋_GB2312" w:hAnsi="仿宋_GB2312" w:eastAsia="仿宋_GB2312" w:cs="仿宋_GB2312"/>
                <w:b w:val="0"/>
                <w:bCs/>
                <w:szCs w:val="21"/>
              </w:rPr>
            </w:pPr>
          </w:p>
        </w:tc>
        <w:tc>
          <w:tcPr>
            <w:tcW w:w="709" w:type="dxa"/>
            <w:shd w:val="clear" w:color="auto" w:fill="auto"/>
            <w:vAlign w:val="center"/>
          </w:tcPr>
          <w:p>
            <w:pPr>
              <w:spacing w:line="300" w:lineRule="exact"/>
              <w:jc w:val="center"/>
              <w:rPr>
                <w:rFonts w:hint="eastAsia" w:ascii="仿宋_GB2312" w:hAnsi="仿宋_GB2312" w:eastAsia="仿宋_GB2312" w:cs="仿宋_GB2312"/>
                <w:b w:val="0"/>
                <w:bCs/>
                <w:szCs w:val="21"/>
              </w:rPr>
            </w:pPr>
          </w:p>
        </w:tc>
        <w:tc>
          <w:tcPr>
            <w:tcW w:w="907" w:type="dxa"/>
            <w:shd w:val="clear" w:color="auto" w:fill="auto"/>
            <w:vAlign w:val="center"/>
          </w:tcPr>
          <w:p>
            <w:pPr>
              <w:spacing w:line="300" w:lineRule="exact"/>
              <w:jc w:val="right"/>
              <w:rPr>
                <w:rFonts w:hint="eastAsia" w:ascii="仿宋_GB2312" w:hAnsi="仿宋_GB2312" w:eastAsia="仿宋_GB2312" w:cs="仿宋_GB2312"/>
                <w:b w:val="0"/>
                <w:bCs/>
                <w:szCs w:val="21"/>
              </w:rPr>
            </w:pPr>
          </w:p>
        </w:tc>
        <w:tc>
          <w:tcPr>
            <w:tcW w:w="907" w:type="dxa"/>
            <w:shd w:val="clear" w:color="auto" w:fill="auto"/>
            <w:vAlign w:val="center"/>
          </w:tcPr>
          <w:p>
            <w:pPr>
              <w:spacing w:line="300" w:lineRule="exact"/>
              <w:jc w:val="center"/>
              <w:rPr>
                <w:rFonts w:hint="eastAsia" w:ascii="仿宋_GB2312" w:hAnsi="仿宋_GB2312" w:eastAsia="仿宋_GB2312" w:cs="仿宋_GB2312"/>
                <w:b w:val="0"/>
                <w:bCs/>
                <w:szCs w:val="21"/>
              </w:rPr>
            </w:pPr>
          </w:p>
        </w:tc>
        <w:tc>
          <w:tcPr>
            <w:tcW w:w="1134" w:type="dxa"/>
            <w:shd w:val="clear" w:color="auto" w:fill="auto"/>
            <w:vAlign w:val="center"/>
          </w:tcPr>
          <w:p>
            <w:pPr>
              <w:spacing w:line="300" w:lineRule="exact"/>
              <w:jc w:val="cente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40</w:t>
            </w:r>
          </w:p>
        </w:tc>
        <w:tc>
          <w:tcPr>
            <w:tcW w:w="1134" w:type="dxa"/>
            <w:shd w:val="clear" w:color="auto" w:fill="auto"/>
            <w:vAlign w:val="center"/>
          </w:tcPr>
          <w:p>
            <w:pPr>
              <w:spacing w:line="300" w:lineRule="exact"/>
              <w:jc w:val="cente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40</w:t>
            </w:r>
          </w:p>
        </w:tc>
        <w:tc>
          <w:tcPr>
            <w:tcW w:w="1134" w:type="dxa"/>
            <w:shd w:val="clear" w:color="auto" w:fill="auto"/>
            <w:vAlign w:val="center"/>
          </w:tcPr>
          <w:p>
            <w:pPr>
              <w:spacing w:line="300" w:lineRule="exact"/>
              <w:jc w:val="right"/>
              <w:rPr>
                <w:rFonts w:hint="eastAsia" w:ascii="仿宋_GB2312" w:hAnsi="仿宋_GB2312" w:eastAsia="仿宋_GB2312" w:cs="仿宋_GB2312"/>
                <w:b w:val="0"/>
                <w:bCs/>
                <w:szCs w:val="21"/>
              </w:rPr>
            </w:pPr>
          </w:p>
        </w:tc>
        <w:tc>
          <w:tcPr>
            <w:tcW w:w="1134" w:type="dxa"/>
            <w:shd w:val="clear" w:color="auto" w:fill="auto"/>
            <w:vAlign w:val="center"/>
          </w:tcPr>
          <w:p>
            <w:pPr>
              <w:spacing w:line="300" w:lineRule="exact"/>
              <w:jc w:val="right"/>
              <w:rPr>
                <w:rFonts w:hint="eastAsia" w:ascii="仿宋_GB2312" w:hAnsi="仿宋_GB2312" w:eastAsia="仿宋_GB2312" w:cs="仿宋_GB2312"/>
                <w:b w:val="0"/>
                <w:bCs/>
              </w:rPr>
            </w:pPr>
          </w:p>
        </w:tc>
        <w:tc>
          <w:tcPr>
            <w:tcW w:w="1134" w:type="dxa"/>
            <w:shd w:val="clear" w:color="auto" w:fill="auto"/>
            <w:vAlign w:val="center"/>
          </w:tcPr>
          <w:p>
            <w:pPr>
              <w:spacing w:line="300" w:lineRule="exact"/>
              <w:jc w:val="right"/>
              <w:rPr>
                <w:rFonts w:ascii="方正书宋_GBK" w:eastAsia="方正书宋_GBK" w:cs="Times New Roman"/>
                <w:b/>
              </w:rPr>
            </w:pPr>
          </w:p>
        </w:tc>
        <w:tc>
          <w:tcPr>
            <w:tcW w:w="1134" w:type="dxa"/>
            <w:shd w:val="clear" w:color="auto" w:fill="auto"/>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廊坊市应急管理局本级小计</w:t>
            </w:r>
          </w:p>
        </w:tc>
        <w:tc>
          <w:tcPr>
            <w:tcW w:w="1134" w:type="dxa"/>
            <w:shd w:val="clear" w:color="auto" w:fill="auto"/>
            <w:vAlign w:val="center"/>
          </w:tcPr>
          <w:p>
            <w:pPr>
              <w:spacing w:line="300" w:lineRule="exact"/>
              <w:jc w:val="center"/>
              <w:rPr>
                <w:rFonts w:hint="eastAsia" w:ascii="仿宋_GB2312" w:hAnsi="仿宋_GB2312" w:eastAsia="仿宋_GB2312" w:cs="仿宋_GB2312"/>
                <w:b w:val="0"/>
                <w:bCs/>
                <w:color w:val="C00000"/>
                <w:szCs w:val="21"/>
              </w:rPr>
            </w:pPr>
          </w:p>
        </w:tc>
        <w:tc>
          <w:tcPr>
            <w:tcW w:w="1531" w:type="dxa"/>
            <w:shd w:val="clear" w:color="auto" w:fill="auto"/>
            <w:vAlign w:val="center"/>
          </w:tcPr>
          <w:p>
            <w:pPr>
              <w:spacing w:line="300" w:lineRule="exact"/>
              <w:jc w:val="left"/>
              <w:rPr>
                <w:rFonts w:hint="eastAsia" w:ascii="仿宋_GB2312" w:hAnsi="仿宋_GB2312" w:eastAsia="仿宋_GB2312" w:cs="仿宋_GB2312"/>
                <w:b w:val="0"/>
                <w:bCs/>
                <w:szCs w:val="21"/>
              </w:rPr>
            </w:pPr>
          </w:p>
        </w:tc>
        <w:tc>
          <w:tcPr>
            <w:tcW w:w="1531" w:type="dxa"/>
            <w:shd w:val="clear" w:color="auto" w:fill="auto"/>
            <w:vAlign w:val="center"/>
          </w:tcPr>
          <w:p>
            <w:pPr>
              <w:spacing w:line="300" w:lineRule="exact"/>
              <w:jc w:val="left"/>
              <w:rPr>
                <w:rFonts w:hint="eastAsia" w:ascii="仿宋_GB2312" w:hAnsi="仿宋_GB2312" w:eastAsia="仿宋_GB2312" w:cs="仿宋_GB2312"/>
                <w:b w:val="0"/>
                <w:bCs/>
                <w:szCs w:val="21"/>
              </w:rPr>
            </w:pPr>
          </w:p>
        </w:tc>
        <w:tc>
          <w:tcPr>
            <w:tcW w:w="709" w:type="dxa"/>
            <w:shd w:val="clear" w:color="auto" w:fill="auto"/>
            <w:vAlign w:val="center"/>
          </w:tcPr>
          <w:p>
            <w:pPr>
              <w:spacing w:line="300" w:lineRule="exact"/>
              <w:jc w:val="center"/>
              <w:rPr>
                <w:rFonts w:hint="eastAsia" w:ascii="仿宋_GB2312" w:hAnsi="仿宋_GB2312" w:eastAsia="仿宋_GB2312" w:cs="仿宋_GB2312"/>
                <w:b w:val="0"/>
                <w:bCs/>
                <w:szCs w:val="21"/>
              </w:rPr>
            </w:pPr>
          </w:p>
        </w:tc>
        <w:tc>
          <w:tcPr>
            <w:tcW w:w="907" w:type="dxa"/>
            <w:shd w:val="clear" w:color="auto" w:fill="auto"/>
            <w:vAlign w:val="center"/>
          </w:tcPr>
          <w:p>
            <w:pPr>
              <w:spacing w:line="300" w:lineRule="exact"/>
              <w:jc w:val="right"/>
              <w:rPr>
                <w:rFonts w:hint="eastAsia" w:ascii="仿宋_GB2312" w:hAnsi="仿宋_GB2312" w:eastAsia="仿宋_GB2312" w:cs="仿宋_GB2312"/>
                <w:b w:val="0"/>
                <w:bCs/>
                <w:szCs w:val="21"/>
              </w:rPr>
            </w:pPr>
          </w:p>
        </w:tc>
        <w:tc>
          <w:tcPr>
            <w:tcW w:w="907" w:type="dxa"/>
            <w:shd w:val="clear" w:color="auto" w:fill="auto"/>
            <w:vAlign w:val="center"/>
          </w:tcPr>
          <w:p>
            <w:pPr>
              <w:spacing w:line="300" w:lineRule="exact"/>
              <w:jc w:val="center"/>
              <w:rPr>
                <w:rFonts w:hint="eastAsia" w:ascii="仿宋_GB2312" w:hAnsi="仿宋_GB2312" w:eastAsia="仿宋_GB2312" w:cs="仿宋_GB2312"/>
                <w:b w:val="0"/>
                <w:bCs/>
                <w:szCs w:val="21"/>
              </w:rPr>
            </w:pPr>
          </w:p>
        </w:tc>
        <w:tc>
          <w:tcPr>
            <w:tcW w:w="1134" w:type="dxa"/>
            <w:shd w:val="clear" w:color="auto" w:fill="auto"/>
            <w:vAlign w:val="center"/>
          </w:tcPr>
          <w:p>
            <w:pPr>
              <w:spacing w:line="300" w:lineRule="exact"/>
              <w:jc w:val="cente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40</w:t>
            </w:r>
          </w:p>
        </w:tc>
        <w:tc>
          <w:tcPr>
            <w:tcW w:w="1134" w:type="dxa"/>
            <w:shd w:val="clear" w:color="auto" w:fill="auto"/>
            <w:vAlign w:val="center"/>
          </w:tcPr>
          <w:p>
            <w:pPr>
              <w:spacing w:line="300" w:lineRule="exact"/>
              <w:jc w:val="cente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40</w:t>
            </w:r>
          </w:p>
        </w:tc>
        <w:tc>
          <w:tcPr>
            <w:tcW w:w="1134" w:type="dxa"/>
            <w:shd w:val="clear" w:color="auto" w:fill="auto"/>
            <w:vAlign w:val="center"/>
          </w:tcPr>
          <w:p>
            <w:pPr>
              <w:spacing w:line="300" w:lineRule="exact"/>
              <w:jc w:val="right"/>
              <w:rPr>
                <w:rFonts w:hint="eastAsia" w:ascii="仿宋_GB2312" w:hAnsi="仿宋_GB2312" w:eastAsia="仿宋_GB2312" w:cs="仿宋_GB2312"/>
                <w:b w:val="0"/>
                <w:bCs/>
                <w:szCs w:val="21"/>
              </w:rPr>
            </w:pPr>
          </w:p>
        </w:tc>
        <w:tc>
          <w:tcPr>
            <w:tcW w:w="1134" w:type="dxa"/>
            <w:shd w:val="clear" w:color="auto" w:fill="auto"/>
            <w:vAlign w:val="center"/>
          </w:tcPr>
          <w:p>
            <w:pPr>
              <w:spacing w:line="300" w:lineRule="exact"/>
              <w:jc w:val="right"/>
              <w:rPr>
                <w:rFonts w:hint="eastAsia" w:ascii="仿宋_GB2312" w:hAnsi="仿宋_GB2312" w:eastAsia="仿宋_GB2312" w:cs="仿宋_GB2312"/>
                <w:b w:val="0"/>
                <w:bCs/>
              </w:rPr>
            </w:pPr>
          </w:p>
        </w:tc>
        <w:tc>
          <w:tcPr>
            <w:tcW w:w="1134" w:type="dxa"/>
            <w:shd w:val="clear" w:color="auto" w:fill="auto"/>
            <w:vAlign w:val="center"/>
          </w:tcPr>
          <w:p>
            <w:pPr>
              <w:spacing w:line="300" w:lineRule="exact"/>
              <w:jc w:val="right"/>
              <w:rPr>
                <w:rFonts w:ascii="方正书宋_GBK" w:eastAsia="方正书宋_GBK" w:cs="Times New Roman"/>
                <w:b/>
              </w:rPr>
            </w:pPr>
          </w:p>
        </w:tc>
        <w:tc>
          <w:tcPr>
            <w:tcW w:w="1134" w:type="dxa"/>
            <w:shd w:val="clear" w:color="auto" w:fill="auto"/>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cs="Times New Roman"/>
                <w:szCs w:val="21"/>
              </w:rPr>
            </w:pPr>
            <w:r>
              <w:rPr>
                <w:rFonts w:hint="eastAsia" w:ascii="仿宋_GB2312" w:hAnsi="仿宋_GB2312" w:eastAsia="仿宋_GB2312" w:cs="仿宋_GB2312"/>
                <w:szCs w:val="21"/>
              </w:rPr>
              <w:t>应急管理信息平台设备购置专项资金</w:t>
            </w:r>
          </w:p>
        </w:tc>
        <w:tc>
          <w:tcPr>
            <w:tcW w:w="1134" w:type="dxa"/>
            <w:shd w:val="clear" w:color="auto" w:fill="auto"/>
            <w:vAlign w:val="center"/>
          </w:tcPr>
          <w:p>
            <w:pPr>
              <w:spacing w:line="30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40</w:t>
            </w:r>
          </w:p>
        </w:tc>
        <w:tc>
          <w:tcPr>
            <w:tcW w:w="1531" w:type="dxa"/>
            <w:shd w:val="clear" w:color="auto" w:fill="auto"/>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服务器</w:t>
            </w:r>
          </w:p>
        </w:tc>
        <w:tc>
          <w:tcPr>
            <w:tcW w:w="1531" w:type="dxa"/>
            <w:shd w:val="clear" w:color="auto" w:fill="auto"/>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A02010103</w:t>
            </w:r>
          </w:p>
        </w:tc>
        <w:tc>
          <w:tcPr>
            <w:tcW w:w="709"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台</w:t>
            </w:r>
          </w:p>
        </w:tc>
        <w:tc>
          <w:tcPr>
            <w:tcW w:w="907"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07"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1134"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34"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34" w:type="dxa"/>
            <w:shd w:val="clear" w:color="auto" w:fill="auto"/>
            <w:vAlign w:val="center"/>
          </w:tcPr>
          <w:p>
            <w:pPr>
              <w:spacing w:line="300" w:lineRule="exact"/>
              <w:jc w:val="right"/>
              <w:rPr>
                <w:rFonts w:ascii="方正书宋_GBK" w:eastAsia="方正书宋_GBK" w:cs="Times New Roman"/>
                <w:szCs w:val="21"/>
              </w:rPr>
            </w:pPr>
          </w:p>
        </w:tc>
        <w:tc>
          <w:tcPr>
            <w:tcW w:w="1134" w:type="dxa"/>
            <w:shd w:val="clear" w:color="auto" w:fill="auto"/>
            <w:vAlign w:val="center"/>
          </w:tcPr>
          <w:p>
            <w:pPr>
              <w:spacing w:line="300" w:lineRule="exact"/>
              <w:jc w:val="right"/>
              <w:rPr>
                <w:rFonts w:ascii="方正书宋_GBK" w:eastAsia="方正书宋_GBK" w:cs="Times New Roman"/>
                <w:szCs w:val="21"/>
              </w:rPr>
            </w:pPr>
          </w:p>
        </w:tc>
        <w:tc>
          <w:tcPr>
            <w:tcW w:w="1134" w:type="dxa"/>
            <w:shd w:val="clear" w:color="auto" w:fill="auto"/>
            <w:vAlign w:val="center"/>
          </w:tcPr>
          <w:p>
            <w:pPr>
              <w:spacing w:line="300" w:lineRule="exact"/>
              <w:jc w:val="right"/>
              <w:rPr>
                <w:rFonts w:ascii="方正书宋_GBK" w:eastAsia="方正书宋_GBK" w:cs="Times New Roman"/>
              </w:rPr>
            </w:pPr>
          </w:p>
        </w:tc>
        <w:tc>
          <w:tcPr>
            <w:tcW w:w="1134" w:type="dxa"/>
            <w:shd w:val="clear" w:color="auto" w:fill="auto"/>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cs="Times New Roman"/>
                <w:szCs w:val="21"/>
              </w:rPr>
            </w:pPr>
            <w:r>
              <w:rPr>
                <w:rFonts w:hint="eastAsia" w:ascii="仿宋_GB2312" w:hAnsi="仿宋_GB2312" w:eastAsia="仿宋_GB2312" w:cs="仿宋_GB2312"/>
                <w:szCs w:val="21"/>
              </w:rPr>
              <w:t>应急管理信息平台设备购置专项资金</w:t>
            </w:r>
          </w:p>
        </w:tc>
        <w:tc>
          <w:tcPr>
            <w:tcW w:w="1134" w:type="dxa"/>
            <w:shd w:val="clear" w:color="auto" w:fill="auto"/>
            <w:vAlign w:val="center"/>
          </w:tcPr>
          <w:p>
            <w:pPr>
              <w:spacing w:line="30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40</w:t>
            </w:r>
          </w:p>
        </w:tc>
        <w:tc>
          <w:tcPr>
            <w:tcW w:w="1531" w:type="dxa"/>
            <w:shd w:val="clear" w:color="auto" w:fill="auto"/>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行业应用软件开发服务</w:t>
            </w:r>
          </w:p>
        </w:tc>
        <w:tc>
          <w:tcPr>
            <w:tcW w:w="1531" w:type="dxa"/>
            <w:shd w:val="clear" w:color="auto" w:fill="auto"/>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C02010302</w:t>
            </w:r>
          </w:p>
        </w:tc>
        <w:tc>
          <w:tcPr>
            <w:tcW w:w="709"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套</w:t>
            </w:r>
          </w:p>
        </w:tc>
        <w:tc>
          <w:tcPr>
            <w:tcW w:w="907"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07"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1134"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1134" w:type="dxa"/>
            <w:shd w:val="clear" w:color="auto" w:fill="auto"/>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1134" w:type="dxa"/>
            <w:shd w:val="clear" w:color="auto" w:fill="auto"/>
            <w:vAlign w:val="center"/>
          </w:tcPr>
          <w:p>
            <w:pPr>
              <w:spacing w:line="300" w:lineRule="exact"/>
              <w:jc w:val="right"/>
              <w:rPr>
                <w:rFonts w:ascii="方正书宋_GBK" w:eastAsia="方正书宋_GBK" w:cs="Times New Roman"/>
                <w:szCs w:val="21"/>
              </w:rPr>
            </w:pPr>
          </w:p>
        </w:tc>
        <w:tc>
          <w:tcPr>
            <w:tcW w:w="1134" w:type="dxa"/>
            <w:shd w:val="clear" w:color="auto" w:fill="auto"/>
            <w:vAlign w:val="center"/>
          </w:tcPr>
          <w:p>
            <w:pPr>
              <w:spacing w:line="300" w:lineRule="exact"/>
              <w:jc w:val="right"/>
              <w:rPr>
                <w:rFonts w:ascii="方正书宋_GBK" w:eastAsia="方正书宋_GBK" w:cs="Times New Roman"/>
                <w:szCs w:val="21"/>
              </w:rPr>
            </w:pPr>
          </w:p>
        </w:tc>
        <w:tc>
          <w:tcPr>
            <w:tcW w:w="1134" w:type="dxa"/>
            <w:shd w:val="clear" w:color="auto" w:fill="auto"/>
            <w:vAlign w:val="center"/>
          </w:tcPr>
          <w:p>
            <w:pPr>
              <w:spacing w:line="300" w:lineRule="exact"/>
              <w:jc w:val="right"/>
              <w:rPr>
                <w:rFonts w:ascii="方正书宋_GBK" w:eastAsia="方正书宋_GBK" w:cs="Times New Roman"/>
              </w:rPr>
            </w:pPr>
          </w:p>
        </w:tc>
        <w:tc>
          <w:tcPr>
            <w:tcW w:w="1134" w:type="dxa"/>
            <w:shd w:val="clear" w:color="auto" w:fill="auto"/>
            <w:vAlign w:val="center"/>
          </w:tcPr>
          <w:p>
            <w:pPr>
              <w:spacing w:line="300" w:lineRule="exact"/>
              <w:jc w:val="right"/>
              <w:rPr>
                <w:rFonts w:ascii="方正书宋_GBK" w:eastAsia="方正书宋_GBK" w:cs="Times New Roman"/>
              </w:rPr>
            </w:pPr>
          </w:p>
        </w:tc>
      </w:tr>
    </w:tbl>
    <w:p>
      <w:pPr>
        <w:spacing w:line="584" w:lineRule="exact"/>
        <w:jc w:val="left"/>
        <w:outlineLvl w:val="0"/>
        <w:rPr>
          <w:rFonts w:ascii="Times New Roman" w:hAnsi="Times New Roman" w:eastAsia="仿宋_GB2312" w:cs="Times New Roman"/>
        </w:rPr>
        <w:sectPr>
          <w:footerReference r:id="rId3" w:type="default"/>
          <w:pgSz w:w="16839" w:h="11907" w:orient="landscape"/>
          <w:pgMar w:top="1361" w:right="1020" w:bottom="1361" w:left="1020" w:header="851" w:footer="992" w:gutter="0"/>
          <w:cols w:space="720" w:num="1"/>
          <w:docGrid w:type="lines" w:linePitch="312" w:charSpace="0"/>
        </w:sect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七、国有资产信息</w:t>
      </w:r>
    </w:p>
    <w:p>
      <w:pPr>
        <w:spacing w:line="584"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廊坊市应急管理局上年末固定资产金额为1531.51万元（详见下表），本年度我部门拟购置固定资产总额为5万元，主要为购置项目</w:t>
      </w:r>
      <w:r>
        <w:rPr>
          <w:rFonts w:hint="eastAsia" w:ascii="仿宋_GB2312" w:hAnsi="仿宋_GB2312" w:eastAsia="仿宋_GB2312" w:cs="仿宋_GB2312"/>
          <w:sz w:val="32"/>
          <w:szCs w:val="32"/>
        </w:rPr>
        <w:t>应急管理信息平台设备购置专项资金的服务器</w:t>
      </w:r>
      <w:r>
        <w:rPr>
          <w:rFonts w:hint="eastAsia" w:ascii="仿宋_GB2312" w:hAnsi="Times New Roman" w:eastAsia="仿宋_GB2312" w:cs="Times New Roman"/>
          <w:sz w:val="32"/>
          <w:szCs w:val="32"/>
        </w:rPr>
        <w:t>，已列入政府采购预算，详见政府采购预算表。</w:t>
      </w:r>
    </w:p>
    <w:p>
      <w:pPr>
        <w:spacing w:line="584" w:lineRule="exact"/>
        <w:ind w:firstLine="640"/>
        <w:rPr>
          <w:rFonts w:ascii="Times New Roman" w:hAnsi="Times New Roman" w:eastAsia="仿宋_GB2312" w:cs="Times New Roman"/>
          <w:sz w:val="32"/>
          <w:szCs w:val="32"/>
        </w:rPr>
      </w:pP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楷体" w:hAnsi="楷体" w:eastAsia="楷体" w:cs="Times New Roman"/>
                <w:b/>
                <w:bCs/>
                <w:kern w:val="0"/>
                <w:sz w:val="32"/>
                <w:szCs w:val="32"/>
              </w:rPr>
            </w:pPr>
            <w:r>
              <w:rPr>
                <w:rFonts w:ascii="楷体" w:hAnsi="楷体" w:eastAsia="楷体" w:cs="Times New Roman"/>
                <w:b/>
                <w:bCs/>
                <w:kern w:val="0"/>
                <w:sz w:val="32"/>
                <w:szCs w:val="32"/>
              </w:rPr>
              <w:t>廊坊市市直部门固定资产占用情况表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编制部门：廊坊市</w:t>
            </w:r>
            <w:r>
              <w:rPr>
                <w:rFonts w:hint="eastAsia" w:ascii="Times New Roman" w:hAnsi="Times New Roman" w:eastAsia="仿宋_GB2312" w:cs="Times New Roman"/>
                <w:kern w:val="0"/>
                <w:sz w:val="22"/>
              </w:rPr>
              <w:t>应急管理局</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截止时间：20</w:t>
            </w:r>
            <w:r>
              <w:rPr>
                <w:rFonts w:hint="eastAsia" w:ascii="Times New Roman" w:hAnsi="Times New Roman" w:eastAsia="仿宋_GB2312" w:cs="Times New Roman"/>
                <w:kern w:val="0"/>
                <w:sz w:val="22"/>
              </w:rPr>
              <w:t>20</w:t>
            </w:r>
            <w:r>
              <w:rPr>
                <w:rFonts w:ascii="Times New Roman" w:hAnsi="Times New Roman" w:eastAsia="仿宋_GB2312" w:cs="Times New Roman"/>
                <w:kern w:val="0"/>
                <w:sz w:val="22"/>
              </w:rPr>
              <w:t>年12月31日</w:t>
            </w:r>
          </w:p>
        </w:tc>
      </w:tr>
      <w:tr>
        <w:tblPrEx>
          <w:tblLayout w:type="fixed"/>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项目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价值（金额单位：万元）</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r>
              <w:rPr>
                <w:rFonts w:ascii="Times New Roman" w:hAnsi="Times New Roman" w:eastAsia="仿宋_GB2312" w:cs="Times New Roman"/>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仿宋_GB2312" w:hAnsi="仿宋_GB2312" w:eastAsia="仿宋_GB2312" w:cs="仿宋_GB2312"/>
                <w:szCs w:val="21"/>
              </w:rPr>
            </w:pPr>
            <w:r>
              <w:rPr>
                <w:rFonts w:hint="eastAsia" w:ascii="仿宋_GB2312" w:hAnsi="仿宋_GB2312" w:eastAsia="仿宋_GB2312" w:cs="仿宋_GB2312"/>
                <w:szCs w:val="21"/>
              </w:rPr>
              <w:t>1531.51</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15</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仿宋_GB2312" w:hAnsi="仿宋_GB2312" w:eastAsia="仿宋_GB2312" w:cs="仿宋_GB2312"/>
                <w:szCs w:val="21"/>
              </w:rPr>
            </w:pPr>
            <w:r>
              <w:rPr>
                <w:rFonts w:hint="eastAsia" w:ascii="仿宋_GB2312" w:hAnsi="仿宋_GB2312" w:eastAsia="仿宋_GB2312" w:cs="仿宋_GB2312"/>
                <w:szCs w:val="21"/>
              </w:rPr>
              <w:t>283.28</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仿宋_GB2312" w:hAnsi="Times New Roman" w:eastAsia="仿宋_GB2312" w:cs="Times New Roman"/>
                <w:szCs w:val="21"/>
                <w:lang w:val="en-US" w:eastAsia="zh-CN"/>
              </w:rPr>
              <w:t>1652</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仿宋_GB2312" w:hAnsi="仿宋_GB2312" w:eastAsia="仿宋_GB2312" w:cs="仿宋_GB2312"/>
                <w:szCs w:val="21"/>
              </w:rPr>
            </w:pPr>
            <w:r>
              <w:rPr>
                <w:rFonts w:hint="eastAsia" w:ascii="仿宋_GB2312" w:hAnsi="仿宋_GB2312" w:eastAsia="仿宋_GB2312" w:cs="仿宋_GB2312"/>
                <w:szCs w:val="21"/>
              </w:rPr>
              <w:t>1248.23</w:t>
            </w:r>
          </w:p>
        </w:tc>
      </w:tr>
    </w:tbl>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八、名词解释</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1、一般公共预算拨款收入：</w:t>
      </w:r>
      <w:r>
        <w:rPr>
          <w:rFonts w:hint="eastAsia" w:ascii="仿宋_GB2312" w:hAnsi="Times New Roman" w:eastAsia="仿宋_GB2312" w:cs="Times New Roman"/>
          <w:sz w:val="32"/>
          <w:szCs w:val="32"/>
        </w:rPr>
        <w:t>指省级财政当年拨付的资金。</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2、事业收入：</w:t>
      </w:r>
      <w:r>
        <w:rPr>
          <w:rFonts w:hint="eastAsia" w:ascii="仿宋_GB2312" w:hAnsi="Times New Roman" w:eastAsia="仿宋_GB2312" w:cs="Times New Roman"/>
          <w:sz w:val="32"/>
          <w:szCs w:val="32"/>
        </w:rPr>
        <w:t>指事业单位开展专业业务活动及辅助活动所取得的收入。</w:t>
      </w:r>
    </w:p>
    <w:p>
      <w:pPr>
        <w:tabs>
          <w:tab w:val="left" w:pos="11490"/>
        </w:tabs>
        <w:spacing w:line="584"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3、其他收入：</w:t>
      </w:r>
      <w:r>
        <w:rPr>
          <w:rFonts w:hint="eastAsia" w:ascii="仿宋_GB2312" w:hAnsi="Times New Roman" w:eastAsia="仿宋_GB2312" w:cs="Times New Roman"/>
          <w:sz w:val="32"/>
          <w:szCs w:val="32"/>
        </w:rPr>
        <w:t>指除“一般公共预算拨款收入”、“事业收入”等以外的收入。主要是按规定动用的租房收入、存款利息收入等。</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4、基本支出：</w:t>
      </w:r>
      <w:r>
        <w:rPr>
          <w:rFonts w:hint="eastAsia" w:ascii="仿宋_GB2312" w:hAnsi="Times New Roman" w:eastAsia="仿宋_GB2312" w:cs="Times New Roman"/>
          <w:sz w:val="32"/>
          <w:szCs w:val="32"/>
        </w:rPr>
        <w:t>指为保障机构正常运转、完成日常工作任务而发生的人员支出和公用支出。</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5、项目支出：</w:t>
      </w:r>
      <w:r>
        <w:rPr>
          <w:rFonts w:hint="eastAsia" w:ascii="仿宋_GB2312" w:hAnsi="Times New Roman" w:eastAsia="仿宋_GB2312" w:cs="Times New Roman"/>
          <w:sz w:val="32"/>
          <w:szCs w:val="32"/>
        </w:rPr>
        <w:t>指在基本支出之外为完成特定行政任务和事业发展目标所发生的支出。</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6、上缴上级支出：</w:t>
      </w:r>
      <w:r>
        <w:rPr>
          <w:rFonts w:hint="eastAsia" w:ascii="仿宋_GB2312" w:hAnsi="Times New Roman" w:eastAsia="仿宋_GB2312" w:cs="Times New Roman"/>
          <w:sz w:val="32"/>
          <w:szCs w:val="32"/>
        </w:rPr>
        <w:t>指下级单位上缴上级的支出。</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7、“三公”经费：</w:t>
      </w:r>
      <w:r>
        <w:rPr>
          <w:rFonts w:hint="eastAsia" w:ascii="仿宋_GB2312" w:hAnsi="Times New Roman" w:eastAsia="仿宋_GB2312" w:cs="Times New Roman"/>
          <w:sz w:val="32"/>
          <w:szCs w:val="32"/>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8、机关运行费：</w:t>
      </w:r>
      <w:r>
        <w:rPr>
          <w:rFonts w:hint="eastAsia" w:ascii="仿宋_GB2312" w:hAnsi="Times New Roman" w:eastAsia="仿宋_GB2312" w:cs="Times New Roman"/>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9、上年结转：</w:t>
      </w:r>
      <w:r>
        <w:rPr>
          <w:rFonts w:hint="eastAsia" w:ascii="仿宋_GB2312" w:hAnsi="Times New Roman" w:eastAsia="仿宋_GB2312" w:cs="Times New Roman"/>
          <w:sz w:val="32"/>
          <w:szCs w:val="32"/>
        </w:rPr>
        <w:t>指以前年度尚未完成、结转到本年仍按原规定用途继续使用的资金。</w:t>
      </w:r>
    </w:p>
    <w:p>
      <w:pPr>
        <w:tabs>
          <w:tab w:val="left" w:pos="11490"/>
        </w:tabs>
        <w:spacing w:line="584"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10、事业单位经营支出：</w:t>
      </w:r>
      <w:r>
        <w:rPr>
          <w:rFonts w:hint="eastAsia" w:ascii="仿宋_GB2312" w:hAnsi="Times New Roman" w:eastAsia="仿宋_GB2312" w:cs="Times New Roman"/>
          <w:sz w:val="32"/>
          <w:szCs w:val="32"/>
        </w:rPr>
        <w:t>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九、其他需要说明的事项</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我部门无其他需要说明的事项。</w:t>
      </w:r>
    </w:p>
    <w:sectPr>
      <w:pgSz w:w="16838" w:h="11906" w:orient="landscape"/>
      <w:pgMar w:top="1800" w:right="1440" w:bottom="180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w:t>
    </w:r>
    <w:r>
      <w:fldChar w:fldCharType="begin"/>
    </w:r>
    <w:r>
      <w:instrText xml:space="preserve">PAGE   \* MERGEFORMAT</w:instrText>
    </w:r>
    <w:r>
      <w:fldChar w:fldCharType="separate"/>
    </w:r>
    <w:r>
      <w:rPr>
        <w:lang w:val="zh-CN"/>
      </w:rPr>
      <w:t>25</w:t>
    </w:r>
    <w:r>
      <w:rPr>
        <w:lang w:val="zh-CN"/>
      </w:rPr>
      <w:fldChar w:fldCharType="end"/>
    </w:r>
    <w:r>
      <w:rPr>
        <w:rFonts w:hint="eastAsia"/>
      </w:rPr>
      <w:t>-</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9E10F"/>
    <w:multiLevelType w:val="singleLevel"/>
    <w:tmpl w:val="A209E10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CC"/>
    <w:rsid w:val="00061E68"/>
    <w:rsid w:val="001937A8"/>
    <w:rsid w:val="001F29D2"/>
    <w:rsid w:val="003B4DEC"/>
    <w:rsid w:val="004A54AA"/>
    <w:rsid w:val="004C254B"/>
    <w:rsid w:val="004E62F7"/>
    <w:rsid w:val="005A5E1E"/>
    <w:rsid w:val="0071411D"/>
    <w:rsid w:val="00715C81"/>
    <w:rsid w:val="00850CEC"/>
    <w:rsid w:val="008C1194"/>
    <w:rsid w:val="009E64BE"/>
    <w:rsid w:val="00B0609C"/>
    <w:rsid w:val="00B72450"/>
    <w:rsid w:val="00B80935"/>
    <w:rsid w:val="00BC6AE6"/>
    <w:rsid w:val="00D347CC"/>
    <w:rsid w:val="00D37971"/>
    <w:rsid w:val="00E16FC3"/>
    <w:rsid w:val="00E27722"/>
    <w:rsid w:val="00FB7A51"/>
    <w:rsid w:val="05C5463B"/>
    <w:rsid w:val="0886293B"/>
    <w:rsid w:val="08AE4EA3"/>
    <w:rsid w:val="08CF5491"/>
    <w:rsid w:val="0CA93299"/>
    <w:rsid w:val="0FCD7852"/>
    <w:rsid w:val="131C5C58"/>
    <w:rsid w:val="14AA0608"/>
    <w:rsid w:val="14B73ADB"/>
    <w:rsid w:val="15AC351E"/>
    <w:rsid w:val="1C272866"/>
    <w:rsid w:val="1C7F5684"/>
    <w:rsid w:val="20565578"/>
    <w:rsid w:val="237458FB"/>
    <w:rsid w:val="25560608"/>
    <w:rsid w:val="262A6DA1"/>
    <w:rsid w:val="2EBA7C9A"/>
    <w:rsid w:val="30074B0A"/>
    <w:rsid w:val="310701A8"/>
    <w:rsid w:val="314A69EA"/>
    <w:rsid w:val="31906250"/>
    <w:rsid w:val="341358A7"/>
    <w:rsid w:val="3B5A7CA3"/>
    <w:rsid w:val="3C765FA7"/>
    <w:rsid w:val="3CA644BB"/>
    <w:rsid w:val="3E0B1CF4"/>
    <w:rsid w:val="41010944"/>
    <w:rsid w:val="422C2C67"/>
    <w:rsid w:val="43A53006"/>
    <w:rsid w:val="43D64805"/>
    <w:rsid w:val="4B1C058C"/>
    <w:rsid w:val="5024123C"/>
    <w:rsid w:val="51C72CEE"/>
    <w:rsid w:val="55A21A63"/>
    <w:rsid w:val="5735583F"/>
    <w:rsid w:val="581B6CC1"/>
    <w:rsid w:val="5F4D643C"/>
    <w:rsid w:val="60B713D0"/>
    <w:rsid w:val="685C35F1"/>
    <w:rsid w:val="68CC3E21"/>
    <w:rsid w:val="6CD56F25"/>
    <w:rsid w:val="6FCD2063"/>
    <w:rsid w:val="71B65DBB"/>
    <w:rsid w:val="72E761E9"/>
    <w:rsid w:val="732707F0"/>
    <w:rsid w:val="733527F8"/>
    <w:rsid w:val="752B72E0"/>
    <w:rsid w:val="77FE1F88"/>
    <w:rsid w:val="7D4B60AC"/>
    <w:rsid w:val="7E727E92"/>
    <w:rsid w:val="7FF6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uiPriority w:val="0"/>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toc 1"/>
    <w:basedOn w:val="1"/>
    <w:next w:val="1"/>
    <w:uiPriority w:val="0"/>
    <w:rPr>
      <w:rFonts w:ascii="Times New Roman" w:hAnsi="Times New Roman" w:cs="Times New Roman"/>
      <w:szCs w:val="24"/>
    </w:rPr>
  </w:style>
  <w:style w:type="paragraph" w:styleId="6">
    <w:name w:val="footnote text"/>
    <w:basedOn w:val="1"/>
    <w:qFormat/>
    <w:uiPriority w:val="0"/>
    <w:pPr>
      <w:snapToGrid w:val="0"/>
      <w:jc w:val="left"/>
    </w:pPr>
    <w:rPr>
      <w:rFonts w:cs="Times New Roman"/>
      <w:sz w:val="18"/>
      <w:szCs w:val="18"/>
    </w:rPr>
  </w:style>
  <w:style w:type="paragraph" w:styleId="7">
    <w:name w:val="toc 2"/>
    <w:basedOn w:val="1"/>
    <w:next w:val="1"/>
    <w:uiPriority w:val="0"/>
    <w:pPr>
      <w:ind w:left="200" w:leftChars="200"/>
    </w:pPr>
    <w:rPr>
      <w:rFonts w:ascii="Times New Roman" w:hAnsi="Times New Roman" w:cs="Times New Roman"/>
      <w:szCs w:val="24"/>
    </w:rPr>
  </w:style>
  <w:style w:type="character" w:styleId="10">
    <w:name w:val="footnote reference"/>
    <w:qFormat/>
    <w:uiPriority w:val="0"/>
    <w:rPr>
      <w:vertAlign w:val="superscript"/>
    </w:rPr>
  </w:style>
  <w:style w:type="paragraph" w:customStyle="1" w:styleId="11">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1973</Words>
  <Characters>11249</Characters>
  <Lines>93</Lines>
  <Paragraphs>26</Paragraphs>
  <TotalTime>1</TotalTime>
  <ScaleCrop>false</ScaleCrop>
  <LinksUpToDate>false</LinksUpToDate>
  <CharactersWithSpaces>13196</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2021-03-06T06:21:00Z</dcterms:created>
  <dc:creator>guest</dc:creator>
  <cp:lastModifiedBy>Administrator</cp:lastModifiedBy>
  <cp:lastPrinted>2018-01-30T06:12:00Z</cp:lastPrinted>
  <dcterms:modified xsi:type="dcterms:W3CDTF">2021-03-10T01:54:06Z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