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4"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廊坊市</w:t>
      </w:r>
      <w:r>
        <w:rPr>
          <w:rFonts w:hint="eastAsia" w:ascii="Times New Roman" w:hAnsi="Times New Roman" w:eastAsia="方正小标宋简体" w:cs="Times New Roman"/>
          <w:sz w:val="44"/>
          <w:szCs w:val="44"/>
          <w:lang w:eastAsia="zh-CN"/>
        </w:rPr>
        <w:t>应急管理局</w:t>
      </w:r>
      <w:r>
        <w:rPr>
          <w:rFonts w:ascii="Times New Roman" w:hAnsi="Times New Roman" w:eastAsia="方正小标宋简体" w:cs="Times New Roman"/>
          <w:sz w:val="44"/>
          <w:szCs w:val="44"/>
        </w:rPr>
        <w:t>20</w:t>
      </w:r>
      <w:r>
        <w:rPr>
          <w:rFonts w:hint="eastAsia" w:ascii="Times New Roman" w:hAnsi="Times New Roman" w:eastAsia="方正小标宋简体" w:cs="Times New Roman"/>
          <w:sz w:val="44"/>
          <w:szCs w:val="44"/>
        </w:rPr>
        <w:t>2</w:t>
      </w:r>
      <w:r>
        <w:rPr>
          <w:rFonts w:ascii="Times New Roman" w:hAnsi="Times New Roman" w:eastAsia="方正小标宋简体" w:cs="Times New Roman"/>
          <w:sz w:val="44"/>
          <w:szCs w:val="44"/>
        </w:rPr>
        <w:t>2年</w:t>
      </w:r>
      <w:r>
        <w:rPr>
          <w:rFonts w:hint="eastAsia" w:ascii="Times New Roman" w:hAnsi="Times New Roman" w:eastAsia="方正小标宋简体" w:cs="Times New Roman"/>
          <w:sz w:val="44"/>
          <w:szCs w:val="44"/>
          <w:lang w:eastAsia="zh-CN"/>
        </w:rPr>
        <w:t>单位</w:t>
      </w:r>
      <w:r>
        <w:rPr>
          <w:rFonts w:ascii="Times New Roman" w:hAnsi="Times New Roman" w:eastAsia="方正小标宋简体" w:cs="Times New Roman"/>
          <w:sz w:val="44"/>
          <w:szCs w:val="44"/>
        </w:rPr>
        <w:t>预算信息公开</w:t>
      </w:r>
      <w:r>
        <w:rPr>
          <w:rFonts w:hint="eastAsia" w:ascii="Times New Roman" w:hAnsi="Times New Roman" w:eastAsia="方正小标宋简体" w:cs="Times New Roman"/>
          <w:sz w:val="44"/>
          <w:szCs w:val="44"/>
        </w:rPr>
        <w:t>情况说明</w:t>
      </w:r>
    </w:p>
    <w:p>
      <w:pPr>
        <w:spacing w:line="584" w:lineRule="exact"/>
        <w:ind w:firstLine="880" w:firstLineChars="200"/>
        <w:jc w:val="center"/>
        <w:rPr>
          <w:rFonts w:ascii="Times New Roman" w:hAnsi="Times New Roman" w:eastAsia="仿宋_GB2312" w:cs="Times New Roman"/>
          <w:sz w:val="44"/>
          <w:szCs w:val="44"/>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按照《中华人民共和国预算法》、《中华人民共和国预算法实施条例》、《地方预决算公开操作规程》和《河北省省级预算公开办法》规定，现将廊坊市</w:t>
      </w:r>
      <w:r>
        <w:rPr>
          <w:rFonts w:hint="eastAsia" w:ascii="Times New Roman" w:hAnsi="Times New Roman" w:eastAsia="仿宋_GB2312" w:cs="Times New Roman"/>
          <w:sz w:val="32"/>
          <w:szCs w:val="32"/>
          <w:lang w:eastAsia="zh-CN"/>
        </w:rPr>
        <w:t>应急管理局</w:t>
      </w:r>
      <w:r>
        <w:rPr>
          <w:rFonts w:ascii="Times New Roman" w:hAnsi="Times New Roman" w:eastAsia="仿宋_GB2312" w:cs="Times New Roman"/>
          <w:sz w:val="32"/>
          <w:szCs w:val="32"/>
        </w:rPr>
        <w:t>20</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2年</w:t>
      </w:r>
      <w:r>
        <w:rPr>
          <w:rFonts w:hint="eastAsia" w:ascii="Times New Roman" w:hAnsi="Times New Roman" w:eastAsia="仿宋_GB2312" w:cs="Times New Roman"/>
          <w:sz w:val="32"/>
          <w:szCs w:val="32"/>
          <w:lang w:eastAsia="zh-CN"/>
        </w:rPr>
        <w:t>单位</w:t>
      </w:r>
      <w:r>
        <w:rPr>
          <w:rFonts w:ascii="Times New Roman" w:hAnsi="Times New Roman" w:eastAsia="仿宋_GB2312" w:cs="Times New Roman"/>
          <w:sz w:val="32"/>
          <w:szCs w:val="32"/>
        </w:rPr>
        <w:t>预算公开如下：</w:t>
      </w:r>
    </w:p>
    <w:p>
      <w:pPr>
        <w:spacing w:line="584"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w:t>
      </w:r>
      <w:r>
        <w:rPr>
          <w:rFonts w:hint="eastAsia" w:ascii="Times New Roman" w:hAnsi="Times New Roman" w:eastAsia="黑体" w:cs="Times New Roman"/>
          <w:sz w:val="32"/>
          <w:szCs w:val="32"/>
          <w:lang w:eastAsia="zh-CN"/>
        </w:rPr>
        <w:t>单位</w:t>
      </w:r>
      <w:r>
        <w:rPr>
          <w:rFonts w:ascii="Times New Roman" w:hAnsi="Times New Roman" w:eastAsia="黑体" w:cs="Times New Roman"/>
          <w:sz w:val="32"/>
          <w:szCs w:val="32"/>
        </w:rPr>
        <w:t>职责及机构设置情况</w:t>
      </w:r>
    </w:p>
    <w:p>
      <w:pPr>
        <w:spacing w:line="584" w:lineRule="exact"/>
        <w:ind w:firstLine="643" w:firstLineChars="200"/>
        <w:rPr>
          <w:rFonts w:ascii="Times New Roman" w:hAnsi="Times New Roman" w:eastAsia="楷体_GB2312" w:cs="Times New Roman"/>
          <w:b/>
          <w:sz w:val="32"/>
          <w:szCs w:val="32"/>
        </w:rPr>
      </w:pPr>
      <w:r>
        <w:rPr>
          <w:rFonts w:hint="eastAsia" w:ascii="Times New Roman" w:hAnsi="Times New Roman" w:eastAsia="楷体_GB2312" w:cs="Times New Roman"/>
          <w:b/>
          <w:sz w:val="32"/>
          <w:szCs w:val="32"/>
          <w:lang w:eastAsia="zh-CN"/>
        </w:rPr>
        <w:t>单位</w:t>
      </w:r>
      <w:r>
        <w:rPr>
          <w:rFonts w:ascii="Times New Roman" w:hAnsi="Times New Roman" w:eastAsia="楷体_GB2312" w:cs="Times New Roman"/>
          <w:b/>
          <w:sz w:val="32"/>
          <w:szCs w:val="32"/>
        </w:rPr>
        <w:t>职责：</w:t>
      </w:r>
    </w:p>
    <w:p>
      <w:pPr>
        <w:pStyle w:val="20"/>
        <w:keepNext w:val="0"/>
        <w:keepLines w:val="0"/>
        <w:pageBreakBefore w:val="0"/>
        <w:widowControl w:val="0"/>
        <w:kinsoku/>
        <w:wordWrap/>
        <w:overflowPunct/>
        <w:topLinePunct w:val="0"/>
        <w:autoSpaceDE/>
        <w:autoSpaceDN/>
        <w:bidi w:val="0"/>
        <w:adjustRightInd/>
        <w:snapToGrid/>
        <w:spacing w:line="580" w:lineRule="exact"/>
        <w:ind w:firstLine="56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根据《廊坊市应急管理局职能配置、内设机构和人员编制规定》，廊坊市应急管理局的主要职责是：</w:t>
      </w:r>
    </w:p>
    <w:p>
      <w:pPr>
        <w:pStyle w:val="20"/>
        <w:keepNext w:val="0"/>
        <w:keepLines w:val="0"/>
        <w:pageBreakBefore w:val="0"/>
        <w:widowControl w:val="0"/>
        <w:kinsoku/>
        <w:wordWrap/>
        <w:overflowPunct/>
        <w:topLinePunct w:val="0"/>
        <w:autoSpaceDE/>
        <w:autoSpaceDN/>
        <w:bidi w:val="0"/>
        <w:adjustRightInd/>
        <w:snapToGrid/>
        <w:spacing w:line="580" w:lineRule="exact"/>
        <w:ind w:firstLine="56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（一）负责应急管理工作，指导各级各</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应对安全生产类、自然灾害类等突发事件和综合防灾减灾救灾工作。负责安全生产综合监督管理和工矿商贸行业安全生产监督管理工作。</w:t>
      </w:r>
    </w:p>
    <w:p>
      <w:pPr>
        <w:pStyle w:val="20"/>
        <w:keepNext w:val="0"/>
        <w:keepLines w:val="0"/>
        <w:pageBreakBefore w:val="0"/>
        <w:widowControl w:val="0"/>
        <w:kinsoku/>
        <w:wordWrap/>
        <w:overflowPunct/>
        <w:topLinePunct w:val="0"/>
        <w:autoSpaceDE/>
        <w:autoSpaceDN/>
        <w:bidi w:val="0"/>
        <w:adjustRightInd/>
        <w:snapToGrid/>
        <w:spacing w:line="580" w:lineRule="exact"/>
        <w:ind w:firstLine="56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（二）拟订应急管理、安全生产等政策规定，组织编制市应急体系建设、安全生产和综合防灾减灾规划，组织编制防震减灾规划、计划，组织制定相关规程和标准并监督实施。</w:t>
      </w:r>
    </w:p>
    <w:p>
      <w:pPr>
        <w:pStyle w:val="20"/>
        <w:keepNext w:val="0"/>
        <w:keepLines w:val="0"/>
        <w:pageBreakBefore w:val="0"/>
        <w:widowControl w:val="0"/>
        <w:kinsoku/>
        <w:wordWrap/>
        <w:overflowPunct/>
        <w:topLinePunct w:val="0"/>
        <w:autoSpaceDE/>
        <w:autoSpaceDN/>
        <w:bidi w:val="0"/>
        <w:adjustRightInd/>
        <w:snapToGrid/>
        <w:spacing w:line="580" w:lineRule="exact"/>
        <w:ind w:firstLine="56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指导应急预案体系建设，建立完善事故灾难和自然灾害分级应对制度，组织编制市总体应急预案和安全生产类、自然灾害类专项预案，综合协调应急预案衔接工作，组织开展预案演练，推动应急避难设施建设。</w:t>
      </w:r>
    </w:p>
    <w:p>
      <w:pPr>
        <w:pStyle w:val="20"/>
        <w:keepNext w:val="0"/>
        <w:keepLines w:val="0"/>
        <w:pageBreakBefore w:val="0"/>
        <w:widowControl w:val="0"/>
        <w:kinsoku/>
        <w:wordWrap/>
        <w:overflowPunct/>
        <w:topLinePunct w:val="0"/>
        <w:autoSpaceDE/>
        <w:autoSpaceDN/>
        <w:bidi w:val="0"/>
        <w:adjustRightInd/>
        <w:snapToGrid/>
        <w:spacing w:line="580" w:lineRule="exact"/>
        <w:ind w:firstLine="56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（四）牵头建立统一的全市应急管理信息系统，负责信息传输渠道的规划和布局，建立监测预警和灾情报告制度，健全自然灾害信息资源获取和共享机制，依法统一发布灾情。</w:t>
      </w:r>
    </w:p>
    <w:p>
      <w:pPr>
        <w:pStyle w:val="20"/>
        <w:keepNext w:val="0"/>
        <w:keepLines w:val="0"/>
        <w:pageBreakBefore w:val="0"/>
        <w:widowControl w:val="0"/>
        <w:kinsoku/>
        <w:wordWrap/>
        <w:overflowPunct/>
        <w:topLinePunct w:val="0"/>
        <w:autoSpaceDE/>
        <w:autoSpaceDN/>
        <w:bidi w:val="0"/>
        <w:adjustRightInd/>
        <w:snapToGrid/>
        <w:spacing w:line="580" w:lineRule="exact"/>
        <w:ind w:firstLine="56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（五）组织指导协调安全生产类、自然灾害类等突发事件应急救援，承担市应对重大灾害指挥部工作，综合研判突发事件发展态势并提出应对建议，协助市委、市政府指定的负责同志组织重大灾害应急处置工作。</w:t>
      </w:r>
    </w:p>
    <w:p>
      <w:pPr>
        <w:pStyle w:val="20"/>
        <w:keepNext w:val="0"/>
        <w:keepLines w:val="0"/>
        <w:pageBreakBefore w:val="0"/>
        <w:widowControl w:val="0"/>
        <w:kinsoku/>
        <w:wordWrap/>
        <w:overflowPunct/>
        <w:topLinePunct w:val="0"/>
        <w:autoSpaceDE/>
        <w:autoSpaceDN/>
        <w:bidi w:val="0"/>
        <w:adjustRightInd/>
        <w:snapToGrid/>
        <w:spacing w:line="580" w:lineRule="exact"/>
        <w:ind w:firstLine="56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（六）统一协调指挥各类应急专业队伍，建立应急协调联动机制，推进指挥平台对接，衔接解放军和武警部队参与应急救援工作。</w:t>
      </w:r>
    </w:p>
    <w:p>
      <w:pPr>
        <w:pStyle w:val="20"/>
        <w:keepNext w:val="0"/>
        <w:keepLines w:val="0"/>
        <w:pageBreakBefore w:val="0"/>
        <w:widowControl w:val="0"/>
        <w:kinsoku/>
        <w:wordWrap/>
        <w:overflowPunct/>
        <w:topLinePunct w:val="0"/>
        <w:autoSpaceDE/>
        <w:autoSpaceDN/>
        <w:bidi w:val="0"/>
        <w:adjustRightInd/>
        <w:snapToGrid/>
        <w:spacing w:line="580" w:lineRule="exact"/>
        <w:ind w:firstLine="56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（七）统筹应急救援力量建设，负责消防、森林和草原火灾扑救、抗洪抢险、地震和地质灾害救援、生产安全事故救援等专业应急救援力量建设，管理市综合性应急救援队伍，指导各级及社会应急救援力量建设。</w:t>
      </w:r>
    </w:p>
    <w:p>
      <w:pPr>
        <w:pStyle w:val="20"/>
        <w:keepNext w:val="0"/>
        <w:keepLines w:val="0"/>
        <w:pageBreakBefore w:val="0"/>
        <w:widowControl w:val="0"/>
        <w:kinsoku/>
        <w:wordWrap/>
        <w:overflowPunct/>
        <w:topLinePunct w:val="0"/>
        <w:autoSpaceDE/>
        <w:autoSpaceDN/>
        <w:bidi w:val="0"/>
        <w:adjustRightInd/>
        <w:snapToGrid/>
        <w:spacing w:line="580" w:lineRule="exact"/>
        <w:ind w:firstLine="56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（八）组织协调消防工作，指导各级消防监督、火灾预防、火灾扑救等工作。</w:t>
      </w:r>
    </w:p>
    <w:p>
      <w:pPr>
        <w:pStyle w:val="20"/>
        <w:keepNext w:val="0"/>
        <w:keepLines w:val="0"/>
        <w:pageBreakBefore w:val="0"/>
        <w:widowControl w:val="0"/>
        <w:kinsoku/>
        <w:wordWrap/>
        <w:overflowPunct/>
        <w:topLinePunct w:val="0"/>
        <w:autoSpaceDE/>
        <w:autoSpaceDN/>
        <w:bidi w:val="0"/>
        <w:adjustRightInd/>
        <w:snapToGrid/>
        <w:spacing w:line="580" w:lineRule="exact"/>
        <w:ind w:firstLine="56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（九）指导协调森林和草原火灾、水旱灾害、地质灾害等防治工作，组织开展地震监测预报工作和地震灾害预防工作，负责自然灾害综合监测预警工作，指导开展自然灾害综合风险评估工作。</w:t>
      </w:r>
    </w:p>
    <w:p>
      <w:pPr>
        <w:pStyle w:val="20"/>
        <w:keepNext w:val="0"/>
        <w:keepLines w:val="0"/>
        <w:pageBreakBefore w:val="0"/>
        <w:widowControl w:val="0"/>
        <w:kinsoku/>
        <w:wordWrap/>
        <w:overflowPunct/>
        <w:topLinePunct w:val="0"/>
        <w:autoSpaceDE/>
        <w:autoSpaceDN/>
        <w:bidi w:val="0"/>
        <w:adjustRightInd/>
        <w:snapToGrid/>
        <w:spacing w:line="580" w:lineRule="exact"/>
        <w:ind w:firstLine="56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（十）组织协调灾害救助工作，组织指导灾情核查、损失评估、救灾捐赠工作，管理、分配市救灾款物并监督使用。</w:t>
      </w:r>
    </w:p>
    <w:p>
      <w:pPr>
        <w:pStyle w:val="20"/>
        <w:keepNext w:val="0"/>
        <w:keepLines w:val="0"/>
        <w:pageBreakBefore w:val="0"/>
        <w:widowControl w:val="0"/>
        <w:kinsoku/>
        <w:wordWrap/>
        <w:overflowPunct/>
        <w:topLinePunct w:val="0"/>
        <w:autoSpaceDE/>
        <w:autoSpaceDN/>
        <w:bidi w:val="0"/>
        <w:adjustRightInd/>
        <w:snapToGrid/>
        <w:spacing w:line="580" w:lineRule="exact"/>
        <w:ind w:firstLine="56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（十一）依法行使市安全生产综合监督管理职权，指导协调、监督检查市有关</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和各县（市、区）政府、廊坊开发区管委会安全生产工作，组织开展安全生产巡查、考核工作。</w:t>
      </w:r>
    </w:p>
    <w:p>
      <w:pPr>
        <w:pStyle w:val="20"/>
        <w:keepNext w:val="0"/>
        <w:keepLines w:val="0"/>
        <w:pageBreakBefore w:val="0"/>
        <w:widowControl w:val="0"/>
        <w:kinsoku/>
        <w:wordWrap/>
        <w:overflowPunct/>
        <w:topLinePunct w:val="0"/>
        <w:autoSpaceDE/>
        <w:autoSpaceDN/>
        <w:bidi w:val="0"/>
        <w:adjustRightInd/>
        <w:snapToGrid/>
        <w:spacing w:line="580" w:lineRule="exact"/>
        <w:ind w:firstLine="56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按照分级、属地原则，依法监督检查工矿商贸生产经营单位贯彻执行安全生产法律法规情况，及其安全生产条件和有关设备（特种设备除外）、材料、劳动防护用品的安全生产管理工作；负责监督管理工矿商贸行业市属企业的安全生产工作；按照有关要求，负责监督管理驻廊中央、省属企业的安全生产工作；依法组织并指导监督实施安全生产准入制度；负责危险化学品安全监督管理综合工作和烟花爆竹安全生产监督管理工作。</w:t>
      </w:r>
    </w:p>
    <w:p>
      <w:pPr>
        <w:pStyle w:val="20"/>
        <w:keepNext w:val="0"/>
        <w:keepLines w:val="0"/>
        <w:pageBreakBefore w:val="0"/>
        <w:widowControl w:val="0"/>
        <w:kinsoku/>
        <w:wordWrap/>
        <w:overflowPunct/>
        <w:topLinePunct w:val="0"/>
        <w:autoSpaceDE/>
        <w:autoSpaceDN/>
        <w:bidi w:val="0"/>
        <w:adjustRightInd/>
        <w:snapToGrid/>
        <w:spacing w:line="580" w:lineRule="exact"/>
        <w:ind w:firstLine="56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（十三）依法组织指导生产安全事故调查处理，监督事故查处和责任追究落实情况。组织开展自然灾害类突发事件的调查评估工作。</w:t>
      </w:r>
    </w:p>
    <w:p>
      <w:pPr>
        <w:pStyle w:val="20"/>
        <w:keepNext w:val="0"/>
        <w:keepLines w:val="0"/>
        <w:pageBreakBefore w:val="0"/>
        <w:widowControl w:val="0"/>
        <w:kinsoku/>
        <w:wordWrap/>
        <w:overflowPunct/>
        <w:topLinePunct w:val="0"/>
        <w:autoSpaceDE/>
        <w:autoSpaceDN/>
        <w:bidi w:val="0"/>
        <w:adjustRightInd/>
        <w:snapToGrid/>
        <w:spacing w:line="580" w:lineRule="exact"/>
        <w:ind w:firstLine="56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（十四）制定应急物资储备和应急救援装备规划并组织实施，会同市粮食和物资储备等</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建立健全应急物资信息平台和调拨制度，在救灾时统一调度。</w:t>
      </w:r>
    </w:p>
    <w:p>
      <w:pPr>
        <w:pStyle w:val="20"/>
        <w:keepNext w:val="0"/>
        <w:keepLines w:val="0"/>
        <w:pageBreakBefore w:val="0"/>
        <w:widowControl w:val="0"/>
        <w:kinsoku/>
        <w:wordWrap/>
        <w:overflowPunct/>
        <w:topLinePunct w:val="0"/>
        <w:autoSpaceDE/>
        <w:autoSpaceDN/>
        <w:bidi w:val="0"/>
        <w:adjustRightInd/>
        <w:snapToGrid/>
        <w:spacing w:line="580" w:lineRule="exact"/>
        <w:ind w:firstLine="56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（十五）负责应急管理、安全生产宣传教育和培训工作，组织指导应急管理、安全生产的科学技术研究、推广应用和信息化建设工作。</w:t>
      </w:r>
    </w:p>
    <w:p>
      <w:pPr>
        <w:pStyle w:val="20"/>
        <w:keepNext w:val="0"/>
        <w:keepLines w:val="0"/>
        <w:pageBreakBefore w:val="0"/>
        <w:widowControl w:val="0"/>
        <w:kinsoku/>
        <w:wordWrap/>
        <w:overflowPunct/>
        <w:topLinePunct w:val="0"/>
        <w:autoSpaceDE/>
        <w:autoSpaceDN/>
        <w:bidi w:val="0"/>
        <w:adjustRightInd/>
        <w:snapToGrid/>
        <w:spacing w:line="580" w:lineRule="exact"/>
        <w:ind w:firstLine="56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（十六）负责组织指导协调和监督全市安全生产行政执法工作，组织开展对市属企业和驻廊中央、省属企业的执法检查，组织开展对安全生产重点企业的执法检查，负责全市抗震设防执法工作。</w:t>
      </w:r>
    </w:p>
    <w:p>
      <w:pPr>
        <w:pStyle w:val="20"/>
        <w:keepNext w:val="0"/>
        <w:keepLines w:val="0"/>
        <w:pageBreakBefore w:val="0"/>
        <w:widowControl w:val="0"/>
        <w:kinsoku/>
        <w:wordWrap/>
        <w:overflowPunct/>
        <w:topLinePunct w:val="0"/>
        <w:autoSpaceDE/>
        <w:autoSpaceDN/>
        <w:bidi w:val="0"/>
        <w:adjustRightInd/>
        <w:snapToGrid/>
        <w:spacing w:line="580" w:lineRule="exact"/>
        <w:ind w:firstLine="56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（十七）组织开展应急管理方面的对外交流与合作。</w:t>
      </w:r>
    </w:p>
    <w:p>
      <w:pPr>
        <w:pStyle w:val="20"/>
        <w:keepNext w:val="0"/>
        <w:keepLines w:val="0"/>
        <w:pageBreakBefore w:val="0"/>
        <w:widowControl w:val="0"/>
        <w:kinsoku/>
        <w:wordWrap/>
        <w:overflowPunct/>
        <w:topLinePunct w:val="0"/>
        <w:autoSpaceDE/>
        <w:autoSpaceDN/>
        <w:bidi w:val="0"/>
        <w:adjustRightInd/>
        <w:snapToGrid/>
        <w:spacing w:line="580" w:lineRule="exact"/>
        <w:ind w:firstLine="561"/>
        <w:textAlignment w:val="auto"/>
        <w:rPr>
          <w:rFonts w:ascii="Times New Roman" w:hAnsi="Times New Roman" w:eastAsia="楷体_GB2312" w:cs="Times New Roman"/>
          <w:b/>
          <w:sz w:val="32"/>
          <w:szCs w:val="32"/>
        </w:rPr>
      </w:pPr>
      <w:r>
        <w:rPr>
          <w:rFonts w:hint="eastAsia" w:ascii="仿宋_GB2312" w:hAnsi="仿宋_GB2312" w:eastAsia="仿宋_GB2312" w:cs="仿宋_GB2312"/>
          <w:sz w:val="32"/>
          <w:szCs w:val="32"/>
        </w:rPr>
        <w:t>（十八）完成市委、市政府交办的其他任务。</w:t>
      </w:r>
    </w:p>
    <w:p>
      <w:pPr>
        <w:autoSpaceDE w:val="0"/>
        <w:autoSpaceDN w:val="0"/>
        <w:adjustRightInd w:val="0"/>
        <w:spacing w:line="584" w:lineRule="exact"/>
        <w:ind w:firstLine="630" w:firstLineChars="196"/>
        <w:jc w:val="left"/>
        <w:rPr>
          <w:rFonts w:ascii="Times New Roman" w:hAnsi="Times New Roman" w:eastAsia="楷体_GB2312" w:cs="Times New Roman"/>
          <w:b/>
          <w:sz w:val="32"/>
          <w:szCs w:val="32"/>
        </w:rPr>
      </w:pPr>
      <w:r>
        <w:rPr>
          <w:rFonts w:ascii="Times New Roman" w:hAnsi="Times New Roman" w:eastAsia="楷体_GB2312" w:cs="Times New Roman"/>
          <w:b/>
          <w:sz w:val="32"/>
          <w:szCs w:val="32"/>
        </w:rPr>
        <w:t>机构设置：</w:t>
      </w:r>
    </w:p>
    <w:p>
      <w:pPr>
        <w:spacing w:line="584" w:lineRule="exact"/>
        <w:jc w:val="center"/>
        <w:outlineLvl w:val="0"/>
        <w:rPr>
          <w:rFonts w:ascii="Times New Roman" w:hAnsi="Times New Roman" w:eastAsia="仿宋_GB2312" w:cs="Times New Roman"/>
          <w:b/>
          <w:sz w:val="32"/>
          <w:szCs w:val="24"/>
        </w:rPr>
      </w:pPr>
      <w:r>
        <w:rPr>
          <w:rFonts w:hint="eastAsia" w:ascii="Times New Roman" w:hAnsi="Times New Roman" w:eastAsia="仿宋_GB2312" w:cs="Times New Roman"/>
          <w:b/>
          <w:sz w:val="32"/>
          <w:szCs w:val="24"/>
          <w:lang w:eastAsia="zh-CN"/>
        </w:rPr>
        <w:t>单位</w:t>
      </w:r>
      <w:r>
        <w:rPr>
          <w:rFonts w:ascii="Times New Roman" w:hAnsi="Times New Roman" w:eastAsia="仿宋_GB2312" w:cs="Times New Roman"/>
          <w:b/>
          <w:sz w:val="32"/>
          <w:szCs w:val="24"/>
        </w:rPr>
        <w:t>机构设置情况</w:t>
      </w:r>
    </w:p>
    <w:tbl>
      <w:tblPr>
        <w:tblStyle w:val="9"/>
        <w:tblW w:w="975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491"/>
        <w:gridCol w:w="1860"/>
        <w:gridCol w:w="1650"/>
        <w:gridCol w:w="27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4" w:hRule="atLeast"/>
          <w:tblHeader/>
          <w:jc w:val="center"/>
        </w:trPr>
        <w:tc>
          <w:tcPr>
            <w:tcW w:w="3491" w:type="dxa"/>
            <w:vMerge w:val="restart"/>
            <w:shd w:val="clear" w:color="auto" w:fill="auto"/>
            <w:vAlign w:val="center"/>
          </w:tcPr>
          <w:p>
            <w:pPr>
              <w:spacing w:line="584"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单位名称</w:t>
            </w:r>
          </w:p>
        </w:tc>
        <w:tc>
          <w:tcPr>
            <w:tcW w:w="1860" w:type="dxa"/>
            <w:vMerge w:val="restart"/>
            <w:shd w:val="clear" w:color="auto" w:fill="auto"/>
            <w:vAlign w:val="center"/>
          </w:tcPr>
          <w:p>
            <w:pPr>
              <w:spacing w:line="584"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单位性质</w:t>
            </w:r>
          </w:p>
        </w:tc>
        <w:tc>
          <w:tcPr>
            <w:tcW w:w="1650" w:type="dxa"/>
            <w:vMerge w:val="restart"/>
            <w:shd w:val="clear" w:color="auto" w:fill="auto"/>
            <w:vAlign w:val="center"/>
          </w:tcPr>
          <w:p>
            <w:pPr>
              <w:spacing w:line="584"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单位规格</w:t>
            </w:r>
          </w:p>
        </w:tc>
        <w:tc>
          <w:tcPr>
            <w:tcW w:w="2754" w:type="dxa"/>
            <w:vMerge w:val="restart"/>
            <w:shd w:val="clear" w:color="auto" w:fill="auto"/>
            <w:vAlign w:val="center"/>
          </w:tcPr>
          <w:p>
            <w:pPr>
              <w:spacing w:line="584"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blHeader/>
          <w:jc w:val="center"/>
        </w:trPr>
        <w:tc>
          <w:tcPr>
            <w:tcW w:w="3491" w:type="dxa"/>
            <w:vMerge w:val="continue"/>
            <w:shd w:val="clear" w:color="auto" w:fill="auto"/>
            <w:vAlign w:val="center"/>
          </w:tcPr>
          <w:p>
            <w:pPr>
              <w:rPr>
                <w:rFonts w:hint="eastAsia" w:ascii="仿宋_GB2312" w:hAnsi="仿宋_GB2312" w:eastAsia="仿宋_GB2312" w:cs="仿宋_GB2312"/>
                <w:sz w:val="28"/>
                <w:szCs w:val="28"/>
              </w:rPr>
            </w:pPr>
          </w:p>
        </w:tc>
        <w:tc>
          <w:tcPr>
            <w:tcW w:w="1860" w:type="dxa"/>
            <w:vMerge w:val="continue"/>
            <w:shd w:val="clear" w:color="auto" w:fill="auto"/>
            <w:vAlign w:val="center"/>
          </w:tcPr>
          <w:p>
            <w:pPr>
              <w:rPr>
                <w:rFonts w:hint="eastAsia" w:ascii="仿宋_GB2312" w:hAnsi="仿宋_GB2312" w:eastAsia="仿宋_GB2312" w:cs="仿宋_GB2312"/>
                <w:sz w:val="28"/>
                <w:szCs w:val="28"/>
              </w:rPr>
            </w:pPr>
          </w:p>
        </w:tc>
        <w:tc>
          <w:tcPr>
            <w:tcW w:w="1650" w:type="dxa"/>
            <w:vMerge w:val="continue"/>
            <w:shd w:val="clear" w:color="auto" w:fill="auto"/>
            <w:vAlign w:val="center"/>
          </w:tcPr>
          <w:p>
            <w:pPr>
              <w:rPr>
                <w:rFonts w:hint="eastAsia" w:ascii="仿宋_GB2312" w:hAnsi="仿宋_GB2312" w:eastAsia="仿宋_GB2312" w:cs="仿宋_GB2312"/>
                <w:sz w:val="28"/>
                <w:szCs w:val="28"/>
              </w:rPr>
            </w:pPr>
          </w:p>
        </w:tc>
        <w:tc>
          <w:tcPr>
            <w:tcW w:w="2754" w:type="dxa"/>
            <w:vMerge w:val="continue"/>
            <w:shd w:val="clear" w:color="auto" w:fill="auto"/>
            <w:vAlign w:val="center"/>
          </w:tcPr>
          <w:p>
            <w:pPr>
              <w:rPr>
                <w:rFonts w:hint="eastAsia" w:ascii="仿宋_GB2312" w:hAnsi="仿宋_GB2312" w:eastAsia="仿宋_GB2312" w:cs="仿宋_GB2312"/>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491" w:type="dxa"/>
            <w:shd w:val="clear" w:color="auto" w:fill="auto"/>
            <w:vAlign w:val="center"/>
          </w:tcPr>
          <w:p>
            <w:pPr>
              <w:spacing w:line="584" w:lineRule="exact"/>
              <w:jc w:val="center"/>
              <w:rPr>
                <w:rFonts w:hint="eastAsia" w:ascii="仿宋_GB2312" w:hAnsi="仿宋_GB2312" w:eastAsia="仿宋_GB2312" w:cs="仿宋_GB2312"/>
                <w:b w:val="0"/>
                <w:bCs/>
                <w:sz w:val="28"/>
                <w:szCs w:val="28"/>
                <w:lang w:eastAsia="zh-CN"/>
              </w:rPr>
            </w:pPr>
            <w:r>
              <w:rPr>
                <w:rFonts w:hint="eastAsia" w:ascii="仿宋_GB2312" w:hAnsi="仿宋_GB2312" w:eastAsia="仿宋_GB2312" w:cs="仿宋_GB2312"/>
                <w:b w:val="0"/>
                <w:bCs/>
                <w:sz w:val="28"/>
                <w:szCs w:val="28"/>
                <w:lang w:eastAsia="zh-CN"/>
              </w:rPr>
              <w:t>廊坊市应急管理局</w:t>
            </w:r>
          </w:p>
        </w:tc>
        <w:tc>
          <w:tcPr>
            <w:tcW w:w="186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val="0"/>
                <w:bCs/>
                <w:kern w:val="2"/>
                <w:sz w:val="28"/>
                <w:szCs w:val="28"/>
                <w:lang w:val="en-US" w:eastAsia="zh-CN" w:bidi="ar-SA"/>
              </w:rPr>
            </w:pPr>
            <w:r>
              <w:rPr>
                <w:rFonts w:hint="eastAsia" w:ascii="仿宋_GB2312" w:hAnsi="仿宋_GB2312" w:eastAsia="仿宋_GB2312" w:cs="仿宋_GB2312"/>
                <w:b w:val="0"/>
                <w:bCs/>
                <w:sz w:val="28"/>
                <w:szCs w:val="28"/>
              </w:rPr>
              <w:t>行政单位</w:t>
            </w:r>
          </w:p>
        </w:tc>
        <w:tc>
          <w:tcPr>
            <w:tcW w:w="165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val="0"/>
                <w:bCs/>
                <w:kern w:val="2"/>
                <w:sz w:val="28"/>
                <w:szCs w:val="28"/>
                <w:lang w:val="en-US" w:eastAsia="zh-CN" w:bidi="ar-SA"/>
              </w:rPr>
            </w:pPr>
            <w:r>
              <w:rPr>
                <w:rFonts w:hint="eastAsia" w:ascii="仿宋_GB2312" w:hAnsi="仿宋_GB2312" w:eastAsia="仿宋_GB2312" w:cs="仿宋_GB2312"/>
                <w:b w:val="0"/>
                <w:bCs/>
                <w:sz w:val="28"/>
                <w:szCs w:val="28"/>
              </w:rPr>
              <w:t>正处级</w:t>
            </w:r>
          </w:p>
        </w:tc>
        <w:tc>
          <w:tcPr>
            <w:tcW w:w="275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val="0"/>
                <w:bCs/>
                <w:kern w:val="2"/>
                <w:sz w:val="28"/>
                <w:szCs w:val="28"/>
                <w:lang w:val="en-US" w:eastAsia="zh-CN" w:bidi="ar-SA"/>
              </w:rPr>
            </w:pPr>
            <w:r>
              <w:rPr>
                <w:rFonts w:hint="eastAsia" w:ascii="仿宋_GB2312" w:hAnsi="仿宋_GB2312" w:eastAsia="仿宋_GB2312" w:cs="仿宋_GB2312"/>
                <w:b w:val="0"/>
                <w:bCs/>
                <w:sz w:val="28"/>
                <w:szCs w:val="28"/>
              </w:rPr>
              <w:t>财政拨款（行政）</w:t>
            </w:r>
          </w:p>
        </w:tc>
      </w:tr>
    </w:tbl>
    <w:p>
      <w:pPr>
        <w:spacing w:line="584"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w:t>
      </w:r>
      <w:r>
        <w:rPr>
          <w:rFonts w:hint="eastAsia" w:ascii="Times New Roman" w:hAnsi="Times New Roman" w:eastAsia="黑体" w:cs="Times New Roman"/>
          <w:sz w:val="32"/>
          <w:szCs w:val="32"/>
          <w:lang w:eastAsia="zh-CN"/>
        </w:rPr>
        <w:t>单位</w:t>
      </w:r>
      <w:r>
        <w:rPr>
          <w:rFonts w:ascii="Times New Roman" w:hAnsi="Times New Roman" w:eastAsia="黑体" w:cs="Times New Roman"/>
          <w:sz w:val="32"/>
          <w:szCs w:val="32"/>
        </w:rPr>
        <w:t>预算安排的总体情况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按照预算管理有关规定，目前我市</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预算的编制实行综合预算制度，即全部收入和支出都反映在预算中。廊坊市应急管理局机关及所属事业单位的收支包含在</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预算中。</w:t>
      </w:r>
    </w:p>
    <w:p>
      <w:pPr>
        <w:spacing w:line="584" w:lineRule="exact"/>
        <w:ind w:firstLine="640"/>
        <w:rPr>
          <w:rFonts w:hint="eastAsia" w:ascii="楷体" w:hAnsi="楷体" w:eastAsia="楷体" w:cs="楷体"/>
          <w:b/>
          <w:sz w:val="32"/>
          <w:szCs w:val="32"/>
        </w:rPr>
      </w:pPr>
    </w:p>
    <w:p>
      <w:pPr>
        <w:spacing w:line="584" w:lineRule="exact"/>
        <w:ind w:firstLine="640"/>
        <w:rPr>
          <w:rFonts w:hint="eastAsia" w:ascii="楷体" w:hAnsi="楷体" w:eastAsia="楷体" w:cs="楷体"/>
          <w:b/>
          <w:sz w:val="32"/>
          <w:szCs w:val="32"/>
        </w:rPr>
      </w:pPr>
      <w:r>
        <w:rPr>
          <w:rFonts w:hint="eastAsia" w:ascii="楷体" w:hAnsi="楷体" w:eastAsia="楷体" w:cs="楷体"/>
          <w:b/>
          <w:sz w:val="32"/>
          <w:szCs w:val="32"/>
        </w:rPr>
        <w:t>1、收入说明</w:t>
      </w:r>
    </w:p>
    <w:p>
      <w:pPr>
        <w:keepNext w:val="0"/>
        <w:keepLines w:val="0"/>
        <w:pageBreakBefore w:val="0"/>
        <w:widowControl w:val="0"/>
        <w:kinsoku/>
        <w:wordWrap/>
        <w:overflowPunct/>
        <w:topLinePunct w:val="0"/>
        <w:autoSpaceDE/>
        <w:autoSpaceDN/>
        <w:bidi w:val="0"/>
        <w:adjustRightInd/>
        <w:snapToGrid/>
        <w:spacing w:line="580" w:lineRule="exact"/>
        <w:ind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反映本</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当年全部收入。2022年预算收入</w:t>
      </w:r>
      <w:r>
        <w:rPr>
          <w:rFonts w:hint="eastAsia" w:ascii="仿宋_GB2312" w:hAnsi="仿宋_GB2312" w:eastAsia="仿宋_GB2312" w:cs="仿宋_GB2312"/>
          <w:sz w:val="32"/>
          <w:szCs w:val="32"/>
          <w:lang w:val="en-US" w:eastAsia="zh-CN"/>
        </w:rPr>
        <w:t>4234.12</w:t>
      </w:r>
      <w:r>
        <w:rPr>
          <w:rFonts w:hint="eastAsia" w:ascii="仿宋_GB2312" w:hAnsi="仿宋_GB2312" w:eastAsia="仿宋_GB2312" w:cs="仿宋_GB2312"/>
          <w:sz w:val="32"/>
          <w:szCs w:val="32"/>
        </w:rPr>
        <w:t>万元，其中：一般公共预算收入</w:t>
      </w:r>
      <w:r>
        <w:rPr>
          <w:rFonts w:hint="eastAsia" w:ascii="仿宋_GB2312" w:hAnsi="仿宋_GB2312" w:eastAsia="仿宋_GB2312" w:cs="仿宋_GB2312"/>
          <w:sz w:val="32"/>
          <w:szCs w:val="32"/>
          <w:lang w:val="en-US" w:eastAsia="zh-CN"/>
        </w:rPr>
        <w:t>3802.79</w:t>
      </w:r>
      <w:r>
        <w:rPr>
          <w:rFonts w:hint="eastAsia" w:ascii="仿宋_GB2312" w:hAnsi="仿宋_GB2312" w:eastAsia="仿宋_GB2312" w:cs="仿宋_GB2312"/>
          <w:sz w:val="32"/>
          <w:szCs w:val="32"/>
        </w:rPr>
        <w:t>万元，基金预算收入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万元，财政专户核拨收入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万元，其他来源收入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万元，上年结转</w:t>
      </w:r>
      <w:r>
        <w:rPr>
          <w:rFonts w:hint="eastAsia" w:ascii="仿宋_GB2312" w:hAnsi="仿宋_GB2312" w:eastAsia="仿宋_GB2312" w:cs="仿宋_GB2312"/>
          <w:sz w:val="32"/>
          <w:szCs w:val="32"/>
          <w:lang w:val="en-US" w:eastAsia="zh-CN"/>
        </w:rPr>
        <w:t>431.33</w:t>
      </w:r>
      <w:r>
        <w:rPr>
          <w:rFonts w:hint="eastAsia" w:ascii="仿宋_GB2312" w:hAnsi="仿宋_GB2312" w:eastAsia="仿宋_GB2312" w:cs="仿宋_GB2312"/>
          <w:sz w:val="32"/>
          <w:szCs w:val="32"/>
        </w:rPr>
        <w:t>万元。</w:t>
      </w:r>
    </w:p>
    <w:p>
      <w:pPr>
        <w:spacing w:line="584" w:lineRule="exact"/>
        <w:ind w:firstLine="640"/>
        <w:rPr>
          <w:rFonts w:hint="eastAsia" w:ascii="楷体" w:hAnsi="楷体" w:eastAsia="楷体" w:cs="楷体"/>
          <w:b/>
          <w:sz w:val="32"/>
          <w:szCs w:val="32"/>
        </w:rPr>
      </w:pPr>
      <w:r>
        <w:rPr>
          <w:rFonts w:hint="eastAsia" w:ascii="楷体" w:hAnsi="楷体" w:eastAsia="楷体" w:cs="楷体"/>
          <w:b/>
          <w:sz w:val="32"/>
          <w:szCs w:val="32"/>
        </w:rPr>
        <w:t>2、支出说明</w:t>
      </w:r>
    </w:p>
    <w:p>
      <w:pPr>
        <w:keepNext w:val="0"/>
        <w:keepLines w:val="0"/>
        <w:pageBreakBefore w:val="0"/>
        <w:widowControl w:val="0"/>
        <w:kinsoku/>
        <w:wordWrap/>
        <w:overflowPunct/>
        <w:topLinePunct w:val="0"/>
        <w:autoSpaceDE/>
        <w:autoSpaceDN/>
        <w:bidi w:val="0"/>
        <w:adjustRightInd/>
        <w:snapToGrid/>
        <w:spacing w:line="580" w:lineRule="exact"/>
        <w:ind w:firstLine="641"/>
        <w:textAlignment w:val="auto"/>
        <w:rPr>
          <w:rFonts w:hint="eastAsia" w:ascii="楷体" w:hAnsi="楷体" w:eastAsia="楷体" w:cs="楷体"/>
          <w:b/>
          <w:sz w:val="32"/>
          <w:szCs w:val="32"/>
        </w:rPr>
      </w:pPr>
      <w:r>
        <w:rPr>
          <w:rFonts w:hint="eastAsia" w:ascii="仿宋_GB2312" w:hAnsi="仿宋_GB2312" w:eastAsia="仿宋_GB2312" w:cs="仿宋_GB2312"/>
          <w:sz w:val="32"/>
          <w:szCs w:val="32"/>
        </w:rPr>
        <w:t>收支预算总表支出栏、基本支出表、项目支出表按经济分类和支出功能分类科目编制，反映廊坊市</w:t>
      </w:r>
      <w:r>
        <w:rPr>
          <w:rFonts w:hint="eastAsia" w:ascii="仿宋_GB2312" w:hAnsi="仿宋_GB2312" w:eastAsia="仿宋_GB2312" w:cs="仿宋_GB2312"/>
          <w:color w:val="000000" w:themeColor="text1"/>
          <w:sz w:val="32"/>
          <w:szCs w:val="32"/>
          <w14:textFill>
            <w14:solidFill>
              <w14:schemeClr w14:val="tx1"/>
            </w14:solidFill>
          </w14:textFill>
        </w:rPr>
        <w:t>应急管理局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2022</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预算中支出预算的总体情况。2022年支出预算</w:t>
      </w:r>
      <w:r>
        <w:rPr>
          <w:rFonts w:hint="eastAsia" w:ascii="仿宋_GB2312" w:hAnsi="仿宋_GB2312" w:eastAsia="仿宋_GB2312" w:cs="仿宋_GB2312"/>
          <w:sz w:val="32"/>
          <w:szCs w:val="32"/>
          <w:lang w:val="en-US" w:eastAsia="zh-CN"/>
        </w:rPr>
        <w:t>4234.12</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2104.50</w:t>
      </w:r>
      <w:r>
        <w:rPr>
          <w:rFonts w:hint="eastAsia" w:ascii="仿宋_GB2312" w:hAnsi="仿宋_GB2312" w:eastAsia="仿宋_GB2312" w:cs="仿宋_GB2312"/>
          <w:sz w:val="32"/>
          <w:szCs w:val="32"/>
        </w:rPr>
        <w:t>万元，包括人员类项目经费</w:t>
      </w:r>
      <w:r>
        <w:rPr>
          <w:rFonts w:hint="eastAsia" w:ascii="仿宋_GB2312" w:hAnsi="仿宋_GB2312" w:eastAsia="仿宋_GB2312" w:cs="仿宋_GB2312"/>
          <w:sz w:val="32"/>
          <w:szCs w:val="32"/>
          <w:lang w:val="en-US" w:eastAsia="zh-CN"/>
        </w:rPr>
        <w:t>1839.71</w:t>
      </w:r>
      <w:r>
        <w:rPr>
          <w:rFonts w:hint="eastAsia" w:ascii="仿宋_GB2312" w:hAnsi="仿宋_GB2312" w:eastAsia="仿宋_GB2312" w:cs="仿宋_GB2312"/>
          <w:sz w:val="32"/>
          <w:szCs w:val="32"/>
        </w:rPr>
        <w:t>万元和运转类公用项目经费</w:t>
      </w:r>
      <w:r>
        <w:rPr>
          <w:rFonts w:hint="eastAsia" w:ascii="仿宋_GB2312" w:hAnsi="仿宋_GB2312" w:eastAsia="仿宋_GB2312" w:cs="仿宋_GB2312"/>
          <w:sz w:val="32"/>
          <w:szCs w:val="32"/>
          <w:lang w:val="en-US" w:eastAsia="zh-CN"/>
        </w:rPr>
        <w:t>264.79</w:t>
      </w:r>
      <w:r>
        <w:rPr>
          <w:rFonts w:hint="eastAsia" w:ascii="仿宋_GB2312" w:hAnsi="仿宋_GB2312" w:eastAsia="仿宋_GB2312" w:cs="仿宋_GB2312"/>
          <w:sz w:val="32"/>
          <w:szCs w:val="32"/>
        </w:rPr>
        <w:t>万元；运转类其他及特定目标类项目支出</w:t>
      </w:r>
      <w:r>
        <w:rPr>
          <w:rFonts w:hint="eastAsia" w:ascii="仿宋_GB2312" w:hAnsi="仿宋_GB2312" w:eastAsia="仿宋_GB2312" w:cs="仿宋_GB2312"/>
          <w:sz w:val="32"/>
          <w:szCs w:val="32"/>
          <w:lang w:val="en-US" w:eastAsia="zh-CN"/>
        </w:rPr>
        <w:t>2129.62</w:t>
      </w:r>
      <w:r>
        <w:rPr>
          <w:rFonts w:hint="eastAsia" w:ascii="仿宋_GB2312" w:hAnsi="仿宋_GB2312" w:eastAsia="仿宋_GB2312" w:cs="仿宋_GB2312"/>
          <w:sz w:val="32"/>
          <w:szCs w:val="32"/>
        </w:rPr>
        <w:t>万元，包括本级支出</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color w:val="000000" w:themeColor="text1"/>
          <w:sz w:val="32"/>
          <w:szCs w:val="32"/>
          <w14:textFill>
            <w14:solidFill>
              <w14:schemeClr w14:val="tx1"/>
            </w14:solidFill>
          </w14:textFill>
        </w:rPr>
        <w:t>主要为应急管理专项业务经费、应急管理专项工作保障经费、应急管理信息平台运行维护经费等。</w:t>
      </w:r>
    </w:p>
    <w:p>
      <w:pPr>
        <w:spacing w:line="584" w:lineRule="exact"/>
        <w:ind w:firstLine="640"/>
        <w:rPr>
          <w:rFonts w:hint="eastAsia" w:ascii="楷体" w:hAnsi="楷体" w:eastAsia="楷体" w:cs="楷体"/>
          <w:b/>
          <w:sz w:val="32"/>
          <w:szCs w:val="32"/>
        </w:rPr>
      </w:pPr>
      <w:r>
        <w:rPr>
          <w:rFonts w:hint="eastAsia" w:ascii="楷体" w:hAnsi="楷体" w:eastAsia="楷体" w:cs="楷体"/>
          <w:b/>
          <w:sz w:val="32"/>
          <w:szCs w:val="32"/>
        </w:rPr>
        <w:t>3、比上年增减情况</w:t>
      </w:r>
    </w:p>
    <w:p>
      <w:pPr>
        <w:keepNext w:val="0"/>
        <w:keepLines w:val="0"/>
        <w:pageBreakBefore w:val="0"/>
        <w:widowControl w:val="0"/>
        <w:kinsoku/>
        <w:wordWrap/>
        <w:overflowPunct/>
        <w:topLinePunct w:val="0"/>
        <w:bidi w:val="0"/>
        <w:snapToGrid/>
        <w:spacing w:line="580" w:lineRule="exact"/>
        <w:ind w:firstLine="640"/>
        <w:textAlignment w:val="auto"/>
        <w:rPr>
          <w:rFonts w:hint="eastAsia" w:ascii="仿宋_GB2312" w:hAnsi="仿宋_GB2312" w:eastAsia="仿宋_GB2312" w:cs="仿宋_GB2312"/>
          <w:color w:val="4F81BD" w:themeColor="accent1"/>
          <w:sz w:val="32"/>
          <w:szCs w:val="32"/>
          <w14:textFill>
            <w14:solidFill>
              <w14:schemeClr w14:val="accent1"/>
            </w14:solidFill>
          </w14:textFill>
        </w:rPr>
      </w:pPr>
      <w:r>
        <w:rPr>
          <w:rFonts w:hint="eastAsia" w:ascii="仿宋_GB2312" w:hAnsi="仿宋_GB2312" w:eastAsia="仿宋_GB2312" w:cs="仿宋_GB2312"/>
          <w:sz w:val="32"/>
          <w:szCs w:val="32"/>
        </w:rPr>
        <w:t>2022年预算收支安排</w:t>
      </w:r>
      <w:r>
        <w:rPr>
          <w:rFonts w:hint="eastAsia" w:ascii="仿宋_GB2312" w:hAnsi="仿宋_GB2312" w:eastAsia="仿宋_GB2312" w:cs="仿宋_GB2312"/>
          <w:sz w:val="32"/>
          <w:szCs w:val="32"/>
          <w:lang w:val="en-US" w:eastAsia="zh-CN"/>
        </w:rPr>
        <w:t>4234.12</w:t>
      </w:r>
      <w:r>
        <w:rPr>
          <w:rFonts w:hint="eastAsia" w:ascii="仿宋_GB2312" w:hAnsi="仿宋_GB2312" w:eastAsia="仿宋_GB2312" w:cs="仿宋_GB2312"/>
          <w:sz w:val="32"/>
          <w:szCs w:val="32"/>
        </w:rPr>
        <w:t>万元，较2021年预算增加</w:t>
      </w:r>
      <w:r>
        <w:rPr>
          <w:rFonts w:hint="eastAsia" w:ascii="仿宋_GB2312" w:hAnsi="仿宋_GB2312" w:eastAsia="仿宋_GB2312" w:cs="仿宋_GB2312"/>
          <w:sz w:val="32"/>
          <w:szCs w:val="32"/>
          <w:lang w:val="en-US" w:eastAsia="zh-CN"/>
        </w:rPr>
        <w:t>1000.33</w:t>
      </w:r>
      <w:r>
        <w:rPr>
          <w:rFonts w:hint="eastAsia" w:ascii="仿宋_GB2312" w:hAnsi="仿宋_GB2312" w:eastAsia="仿宋_GB2312" w:cs="仿宋_GB2312"/>
          <w:sz w:val="32"/>
          <w:szCs w:val="32"/>
        </w:rPr>
        <w:t>万元，其中：基本支出增加</w:t>
      </w:r>
      <w:r>
        <w:rPr>
          <w:rFonts w:hint="eastAsia" w:ascii="仿宋_GB2312" w:hAnsi="仿宋_GB2312" w:eastAsia="仿宋_GB2312" w:cs="仿宋_GB2312"/>
          <w:sz w:val="32"/>
          <w:szCs w:val="32"/>
          <w:lang w:val="en-US" w:eastAsia="zh-CN"/>
        </w:rPr>
        <w:t>263.98</w:t>
      </w:r>
      <w:r>
        <w:rPr>
          <w:rFonts w:hint="eastAsia" w:ascii="仿宋_GB2312" w:hAnsi="仿宋_GB2312" w:eastAsia="仿宋_GB2312" w:cs="仿宋_GB2312"/>
          <w:color w:val="000000" w:themeColor="text1"/>
          <w:sz w:val="32"/>
          <w:szCs w:val="32"/>
          <w14:textFill>
            <w14:solidFill>
              <w14:schemeClr w14:val="tx1"/>
            </w14:solidFill>
          </w14:textFill>
        </w:rPr>
        <w:t>万元，主要为人员经费和日常公用经费支出；项目支出增加</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736.35</w:t>
      </w:r>
      <w:r>
        <w:rPr>
          <w:rFonts w:hint="eastAsia" w:ascii="仿宋_GB2312" w:hAnsi="仿宋_GB2312" w:eastAsia="仿宋_GB2312" w:cs="仿宋_GB2312"/>
          <w:color w:val="000000" w:themeColor="text1"/>
          <w:sz w:val="32"/>
          <w:szCs w:val="32"/>
          <w14:textFill>
            <w14:solidFill>
              <w14:schemeClr w14:val="tx1"/>
            </w14:solidFill>
          </w14:textFill>
        </w:rPr>
        <w:t>万元，主要为应急管理专项业务经费、应急管理专项工作保障经费项目支出。</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ascii="Times New Roman" w:hAnsi="Times New Roman" w:eastAsia="黑体" w:cs="Times New Roman"/>
          <w:sz w:val="32"/>
          <w:szCs w:val="32"/>
        </w:rPr>
      </w:pPr>
      <w:r>
        <w:rPr>
          <w:rFonts w:ascii="Times New Roman" w:hAnsi="Times New Roman" w:eastAsia="黑体" w:cs="Times New Roman"/>
          <w:sz w:val="32"/>
          <w:szCs w:val="32"/>
        </w:rPr>
        <w:t>三、机关运行经费安排情况</w:t>
      </w:r>
    </w:p>
    <w:p>
      <w:pPr>
        <w:pStyle w:val="22"/>
        <w:keepNext w:val="0"/>
        <w:keepLines w:val="0"/>
        <w:pageBreakBefore w:val="0"/>
        <w:widowControl w:val="0"/>
        <w:kinsoku/>
        <w:wordWrap/>
        <w:overflowPunct/>
        <w:topLinePunct w:val="0"/>
        <w:bidi w:val="0"/>
        <w:snapToGrid/>
        <w:spacing w:line="580" w:lineRule="exact"/>
        <w:textAlignment w:val="auto"/>
        <w:rPr>
          <w:rFonts w:hint="eastAsia" w:ascii="黑体" w:hAnsi="黑体" w:eastAsia="黑体" w:cs="黑体"/>
          <w:b w:val="0"/>
          <w:bCs/>
          <w:sz w:val="32"/>
          <w:szCs w:val="32"/>
        </w:rPr>
      </w:pPr>
      <w:r>
        <w:rPr>
          <w:rFonts w:hint="eastAsia" w:ascii="仿宋_GB2312" w:hAnsi="仿宋_GB2312" w:eastAsia="仿宋_GB2312" w:cs="仿宋_GB2312"/>
          <w:sz w:val="32"/>
          <w:szCs w:val="32"/>
        </w:rPr>
        <w:t>2022年，我局机关运行经费共计安排</w:t>
      </w:r>
      <w:r>
        <w:rPr>
          <w:rFonts w:hint="eastAsia" w:ascii="仿宋_GB2312" w:hAnsi="仿宋_GB2312" w:eastAsia="仿宋_GB2312" w:cs="仿宋_GB2312"/>
          <w:sz w:val="32"/>
          <w:szCs w:val="32"/>
          <w:lang w:val="en-US" w:eastAsia="zh-CN"/>
        </w:rPr>
        <w:t>264.79</w:t>
      </w:r>
      <w:r>
        <w:rPr>
          <w:rFonts w:hint="eastAsia" w:ascii="仿宋_GB2312" w:hAnsi="仿宋_GB2312" w:eastAsia="仿宋_GB2312" w:cs="仿宋_GB2312"/>
          <w:sz w:val="32"/>
          <w:szCs w:val="32"/>
        </w:rPr>
        <w:t>万元，主要用于廊坊市应急管理局办公区的日常维修、办公用房水电费、办公用房取暖费、办公用房物业管理费等日常运行支出。</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27" w:firstLineChars="196"/>
        <w:jc w:val="left"/>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四、财政拨款“三公”经费预算情况及增减变化原因</w:t>
      </w:r>
    </w:p>
    <w:p>
      <w:pPr>
        <w:pStyle w:val="22"/>
        <w:keepNext w:val="0"/>
        <w:keepLines w:val="0"/>
        <w:pageBreakBefore w:val="0"/>
        <w:widowControl w:val="0"/>
        <w:kinsoku/>
        <w:wordWrap/>
        <w:overflowPunct/>
        <w:topLinePunct w:val="0"/>
        <w:bidi w:val="0"/>
        <w:snapToGrid/>
        <w:spacing w:line="58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2022年，我局财政拨款“三公”经费预算安排</w:t>
      </w:r>
      <w:r>
        <w:rPr>
          <w:rFonts w:hint="eastAsia" w:ascii="仿宋_GB2312" w:hAnsi="仿宋_GB2312" w:eastAsia="仿宋_GB2312" w:cs="仿宋_GB2312"/>
          <w:sz w:val="32"/>
          <w:szCs w:val="32"/>
          <w:lang w:val="en-US" w:eastAsia="zh-CN"/>
        </w:rPr>
        <w:t>46.21</w:t>
      </w:r>
      <w:r>
        <w:rPr>
          <w:rFonts w:hint="eastAsia" w:ascii="仿宋_GB2312" w:hAnsi="仿宋_GB2312" w:eastAsia="仿宋_GB2312" w:cs="仿宋_GB2312"/>
          <w:sz w:val="32"/>
          <w:szCs w:val="32"/>
        </w:rPr>
        <w:t>万元。其中，因公出国（境）费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万元；公务用车购置及运维费</w:t>
      </w:r>
      <w:r>
        <w:rPr>
          <w:rFonts w:hint="eastAsia" w:ascii="仿宋_GB2312" w:hAnsi="仿宋_GB2312" w:eastAsia="仿宋_GB2312" w:cs="仿宋_GB2312"/>
          <w:sz w:val="32"/>
          <w:szCs w:val="32"/>
          <w:lang w:val="en-US" w:eastAsia="zh-CN"/>
        </w:rPr>
        <w:t>44.36</w:t>
      </w:r>
      <w:r>
        <w:rPr>
          <w:rFonts w:hint="eastAsia" w:ascii="仿宋_GB2312" w:hAnsi="仿宋_GB2312" w:eastAsia="仿宋_GB2312" w:cs="仿宋_GB2312"/>
          <w:sz w:val="32"/>
          <w:szCs w:val="32"/>
        </w:rPr>
        <w:t>万元（其中：公务用车购置费为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万元，公务用车运维费</w:t>
      </w:r>
      <w:r>
        <w:rPr>
          <w:rFonts w:hint="eastAsia" w:ascii="仿宋_GB2312" w:hAnsi="仿宋_GB2312" w:eastAsia="仿宋_GB2312" w:cs="仿宋_GB2312"/>
          <w:sz w:val="32"/>
          <w:szCs w:val="32"/>
          <w:lang w:val="en-US" w:eastAsia="zh-CN"/>
        </w:rPr>
        <w:t>44.36</w:t>
      </w:r>
      <w:r>
        <w:rPr>
          <w:rFonts w:hint="eastAsia" w:ascii="仿宋_GB2312" w:hAnsi="仿宋_GB2312" w:eastAsia="仿宋_GB2312" w:cs="仿宋_GB2312"/>
          <w:sz w:val="32"/>
          <w:szCs w:val="32"/>
        </w:rPr>
        <w:t>万元)；公务接待费</w:t>
      </w:r>
      <w:r>
        <w:rPr>
          <w:rFonts w:hint="eastAsia" w:ascii="仿宋_GB2312" w:hAnsi="仿宋_GB2312" w:eastAsia="仿宋_GB2312" w:cs="仿宋_GB2312"/>
          <w:sz w:val="32"/>
          <w:szCs w:val="32"/>
          <w:lang w:val="en-US" w:eastAsia="zh-CN"/>
        </w:rPr>
        <w:t>1.85</w:t>
      </w:r>
      <w:r>
        <w:rPr>
          <w:rFonts w:hint="eastAsia" w:ascii="仿宋_GB2312" w:hAnsi="仿宋_GB2312" w:eastAsia="仿宋_GB2312" w:cs="仿宋_GB2312"/>
          <w:sz w:val="32"/>
          <w:szCs w:val="32"/>
        </w:rPr>
        <w:t>万元。与2021年相比持平，无增减变化。</w:t>
      </w:r>
      <w:r>
        <w:rPr>
          <w:rFonts w:hint="eastAsia" w:ascii="仿宋_GB2312" w:hAnsi="仿宋_GB2312" w:eastAsia="仿宋_GB2312" w:cs="仿宋_GB2312"/>
          <w:sz w:val="32"/>
          <w:szCs w:val="32"/>
          <w:lang w:val="en-US" w:eastAsia="zh-CN"/>
        </w:rPr>
        <w:t>主要原因是公务用车无增减变化。</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黑体" w:cs="Times New Roman"/>
          <w:sz w:val="32"/>
          <w:szCs w:val="32"/>
        </w:rPr>
      </w:pPr>
      <w:r>
        <w:rPr>
          <w:rFonts w:ascii="Times New Roman" w:hAnsi="Times New Roman" w:eastAsia="黑体" w:cs="Times New Roman"/>
          <w:sz w:val="32"/>
          <w:szCs w:val="32"/>
        </w:rPr>
        <w:t>五、预算绩效信息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黑体" w:cs="Times New Roman"/>
          <w:sz w:val="32"/>
          <w:szCs w:val="32"/>
        </w:rPr>
      </w:pPr>
      <w:r>
        <w:rPr>
          <w:rFonts w:hint="eastAsia" w:ascii="Times New Roman" w:hAnsi="Times New Roman" w:eastAsia="黑体" w:cs="Times New Roman"/>
          <w:sz w:val="32"/>
          <w:szCs w:val="32"/>
        </w:rPr>
        <w:t xml:space="preserve">第一部分 </w:t>
      </w:r>
      <w:r>
        <w:rPr>
          <w:rFonts w:hint="eastAsia" w:ascii="Times New Roman" w:hAnsi="Times New Roman" w:eastAsia="黑体" w:cs="Times New Roman"/>
          <w:sz w:val="32"/>
          <w:szCs w:val="32"/>
          <w:lang w:eastAsia="zh-CN"/>
        </w:rPr>
        <w:t>单位</w:t>
      </w:r>
      <w:r>
        <w:rPr>
          <w:rFonts w:hint="eastAsia" w:ascii="Times New Roman" w:hAnsi="Times New Roman" w:eastAsia="黑体" w:cs="Times New Roman"/>
          <w:sz w:val="32"/>
          <w:szCs w:val="32"/>
        </w:rPr>
        <w:t>整体绩效目标</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楷体" w:hAnsi="楷体" w:eastAsia="楷体" w:cs="楷体"/>
          <w:b/>
          <w:sz w:val="32"/>
          <w:szCs w:val="32"/>
        </w:rPr>
      </w:pPr>
      <w:r>
        <w:rPr>
          <w:rFonts w:hint="eastAsia" w:ascii="楷体" w:hAnsi="楷体" w:eastAsia="楷体" w:cs="楷体"/>
          <w:b/>
          <w:sz w:val="32"/>
          <w:szCs w:val="32"/>
        </w:rPr>
        <w:t>（一）总体绩效目标</w:t>
      </w:r>
    </w:p>
    <w:p>
      <w:pPr>
        <w:pStyle w:val="22"/>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优化、协同、高效的原则，着力防风险、保稳定、建制度、补短板，大力推进应急治理体系和治理能力现代化，进一步完善安全生产、防灾减灾、应急救援体系和运行机制，着力构建统一指挥、专常兼备、反应灵敏、上下联动、平战结合的应急管理体制；扎实推进重点工程和专项行动有效实施，促进全市安全生产水平、自然灾害防治能力、重大灾害救助能力、应急救援能力、信息化支撑能力明显提升；安全风险防范工作取得扎实成效，灾害损失明显减少；安全生产形势持续稳定，较大事故进一步减少，重特大事故得到有效遏制。全年组织重特大事故救援演练1次、开展市抗震救灾指挥部地震应急桌面演练1次，应急宣传受众100万人次、应急安全培训人数2000人次以上，安全负责人、考核安全生产管理人员和特种作业人员8000人次、对80家以上重点生产经营单位开展安全生产执法检查。</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楷体" w:hAnsi="楷体" w:eastAsia="楷体" w:cs="楷体"/>
          <w:b/>
          <w:sz w:val="32"/>
          <w:szCs w:val="32"/>
        </w:rPr>
      </w:pPr>
      <w:r>
        <w:rPr>
          <w:rFonts w:hint="eastAsia" w:ascii="楷体" w:hAnsi="楷体" w:eastAsia="楷体" w:cs="楷体"/>
          <w:b/>
          <w:sz w:val="32"/>
          <w:szCs w:val="32"/>
        </w:rPr>
        <w:t>（二）分项绩效目标</w:t>
      </w:r>
    </w:p>
    <w:p>
      <w:pPr>
        <w:pStyle w:val="22"/>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全面提升应急指挥和综合救援水平</w:t>
      </w:r>
    </w:p>
    <w:p>
      <w:pPr>
        <w:pStyle w:val="22"/>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绩效目标：通过加强突发事件应急指挥协调保障、增加应急救援装备和物资储备，开展大练兵、大比武活动、完善应急预案，有效提升应急指挥和综合救援能力。 </w:t>
      </w:r>
    </w:p>
    <w:p>
      <w:pPr>
        <w:pStyle w:val="22"/>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绩效指标：开展重特大事故救援演练1次，开展市抗震救灾指挥部地震应急桌面演练1次，生产安全事故、自然灾害有效救援率达到95%以上,全年因灾害造成人员伤亡和财产损失比上年度下降。</w:t>
      </w:r>
    </w:p>
    <w:p>
      <w:pPr>
        <w:pStyle w:val="22"/>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切实提高自然灾害防治能力</w:t>
      </w:r>
    </w:p>
    <w:p>
      <w:pPr>
        <w:pStyle w:val="22"/>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绩效目标：通过组织开展灾害风险会商，对灾害风险形势和主要灾害趋势定期进行会商研判，加强灾害监测预警，推动全市自然灾害分类监测和分级预警体系建设，切实提升自然灾害防治能力。 </w:t>
      </w:r>
    </w:p>
    <w:p>
      <w:pPr>
        <w:pStyle w:val="22"/>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绩效指标：实现省市县和</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间信息互通共享，监测预警系统正常运行率在95%以上，开展地震、洪涝、森林火灾等灾害趋势会商研判15次以上。</w:t>
      </w:r>
    </w:p>
    <w:p>
      <w:pPr>
        <w:pStyle w:val="22"/>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持续做好安全风险防范化解</w:t>
      </w:r>
    </w:p>
    <w:p>
      <w:pPr>
        <w:pStyle w:val="22"/>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绩效目标：通过继续开展“安全生产双控”机制建设、深入开展安全生产三年攻坚行动、严格安全准入许可，强化安全生产执法检查，有效防范化解安全风险，保持全市安全生产形势持续稳定。 </w:t>
      </w:r>
    </w:p>
    <w:p>
      <w:pPr>
        <w:pStyle w:val="22"/>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指标：重点监管企业安全生产“双控”机制建设完成率达到100%、一般行业企业达到80%以上；组织开展安全生产专项整治行动2次以上，全年行政许可按时审批率100%，监督检查生产经营单位300家次以上、对80家以上重点生产经营单位开展安全生产执法检查。</w:t>
      </w:r>
    </w:p>
    <w:p>
      <w:pPr>
        <w:pStyle w:val="22"/>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扎实推进应急管理信息化建设</w:t>
      </w:r>
    </w:p>
    <w:p>
      <w:pPr>
        <w:pStyle w:val="22"/>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绩效目标：通过推进应急管理信息化平台建设，健全平台各系统功能，提升防灾减灾、应急救援和安全生产监管信息化水平。</w:t>
      </w:r>
    </w:p>
    <w:p>
      <w:pPr>
        <w:pStyle w:val="22"/>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绩效指标：完成应急信息平台4套功能模块的采购及安装调试，增加10台网络安全设备，验收合格率达到100%，已建成系统正常运行率达到95%以上。</w:t>
      </w:r>
    </w:p>
    <w:p>
      <w:pPr>
        <w:pStyle w:val="22"/>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切实加强应急管理宣传教育</w:t>
      </w:r>
    </w:p>
    <w:p>
      <w:pPr>
        <w:pStyle w:val="22"/>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绩效目标：通过加强与新闻媒体深度合作，提高新闻发布、公益宣传和舆情应对水平，建立“安全提示”协调联动机制，提升公众应急和安全生产意识和能力。</w:t>
      </w:r>
    </w:p>
    <w:p>
      <w:pPr>
        <w:pStyle w:val="22"/>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指标：全年开展集中应急宣传活动2次以上，廊坊电视台廊坊应急专栏10期，廊坊日报、廊坊都市报、廊坊应急专栏8期，廊坊电台畅行951安全提示200期，微信公众号、官方微博信息更新300次，安全生产月宣传活动1次，中省市级传统媒体及新媒体刊登我市文章50篇，应急宣传受众人数达到100万人次以上。</w:t>
      </w:r>
    </w:p>
    <w:p>
      <w:pPr>
        <w:pStyle w:val="22"/>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持续夯实基层基础</w:t>
      </w:r>
    </w:p>
    <w:p>
      <w:pPr>
        <w:pStyle w:val="22"/>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绩效目标：通过开展应急管理培训、应急科技推广、事故灾害调查统计工作、自然灾害普查，提升应急管理和安全生产基础能力，提升本质安全水平。 </w:t>
      </w:r>
    </w:p>
    <w:p>
      <w:pPr>
        <w:pStyle w:val="22"/>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绩效指标：全年应急和安全生产培训人数2000人次以上，考核安全负责人、安全生产管理人员和特种作业人员8000人以上，生产安全事故调查结案率100%，完成自然灾害普查，地震流动科普馆巡展6次。</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楷体_GB2312" w:eastAsia="楷体_GB2312" w:cs="Times New Roman"/>
          <w:b/>
          <w:sz w:val="32"/>
          <w:szCs w:val="32"/>
        </w:rPr>
      </w:pPr>
      <w:r>
        <w:rPr>
          <w:rFonts w:hint="eastAsia" w:ascii="楷体_GB2312" w:eastAsia="楷体_GB2312" w:cs="Times New Roman"/>
          <w:b/>
          <w:sz w:val="32"/>
          <w:szCs w:val="32"/>
        </w:rPr>
        <w:t>（三）工作保障措施</w:t>
      </w:r>
    </w:p>
    <w:p>
      <w:pPr>
        <w:pStyle w:val="23"/>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为实现年度总体目标，采取以下保障措施：</w:t>
      </w:r>
    </w:p>
    <w:p>
      <w:pPr>
        <w:pStyle w:val="23"/>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加强组织领导。成立以局主要领导为组长，相关分管领导为成员的年度单位预算执行工作领导小组，定期调度研判预算执行情况。督促预算执行单位加快项目实施进度，帮助解决预算执行过程中的问题，监督项目资金使用效益。</w:t>
      </w:r>
    </w:p>
    <w:p>
      <w:pPr>
        <w:pStyle w:val="23"/>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完善制度建设。全面梳理本单位财务管理制度体系，以近年来预算执行、决算、内审、审计发现的问题为导向，完善制度建设，为预算执行建立完善的制度保障。一是对已有制度进行修订，使之执行更有效。二是填补制度空白，抓紧制定一批新制度、新规定，单位制度体系更完善。</w:t>
      </w:r>
    </w:p>
    <w:p>
      <w:pPr>
        <w:pStyle w:val="23"/>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加强支出管理。通过优化支出结构、编细编实预算、提高内控审批效率、加快履行政府采购手续，尽快启动项目、及时支付资金等多种措施，确保支出进度达标。重点是通过限定内部审批时限来解决内部审批效率问题，通过提升采购需求文件质来压缩办理采购手续时间的问题。</w:t>
      </w:r>
    </w:p>
    <w:p>
      <w:pPr>
        <w:pStyle w:val="23"/>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加强绩效运行监控。按照《廊坊市应急管理局预算绩效管理办法》（廊应急〔2019〕143号）及市财政局相关绩效管理规定，充分发挥局预算绩效管理工作领导小组及其办公室职能，开展绩效运行监控,及时发现运行中的偏差情况，并采取有效的措施予以纠偏，确保绩效目标如期保质实现。</w:t>
      </w:r>
    </w:p>
    <w:p>
      <w:pPr>
        <w:pStyle w:val="23"/>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5、做好绩效自评。按要求开展上年度单位预算绩效自评和重点评价工作,对评价中发现的问题及时整改。针对上年度问题情况，“举一反三”，及时调整优化本年度支出结构,提高资金使用效益。</w:t>
      </w:r>
    </w:p>
    <w:p>
      <w:pPr>
        <w:pStyle w:val="23"/>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规范财务资产管理。完善机关财务管理制度，严格审批程序。加强固定资产登记、使用和报废处置管理，做到支出合理，物尽其用。落实资产使用管理责任制度，谁使用谁保管谁负责，定期开展资产清查，确保国有资产安全。</w:t>
      </w:r>
    </w:p>
    <w:p>
      <w:pPr>
        <w:pStyle w:val="23"/>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7、加强内部监督。加强内部监督制度建设，建立内部监督机制、设立内部监督机构，对绩效运行情况、重大支出决策、资产处置及其他重要经济业务事项的决策和执行进行监督，对会计资料定期进行内部审计,并配合做好审计、财政监督等外部监督工作，确保财政资金安全有效。</w:t>
      </w:r>
    </w:p>
    <w:p>
      <w:pPr>
        <w:pStyle w:val="23"/>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kern w:val="2"/>
          <w:sz w:val="32"/>
          <w:szCs w:val="32"/>
          <w:lang w:val="en-US" w:eastAsia="zh-CN" w:bidi="ar-SA"/>
        </w:rPr>
        <w:t>8、加强宣传培训调研。一是重点加强对项目承办科室人员培训。提升项目承办科室人员财务管理、政府采购和预算绩效管理等方面的能力，提高项目实施前、中、后绩效管理水平。二是加强调研,研究优化财政资金配置、提高资金使用效益的有效措施；加大宣传力度，强化全局干部职工预算绩效管理意识，促进预算绩效管理水平进一步提升。</w:t>
      </w:r>
    </w:p>
    <w:p>
      <w:pPr>
        <w:overflowPunct w:val="0"/>
        <w:adjustRightInd w:val="0"/>
        <w:snapToGrid w:val="0"/>
        <w:spacing w:after="156" w:afterLines="50" w:line="580" w:lineRule="exact"/>
        <w:ind w:firstLine="630" w:firstLineChars="196"/>
        <w:jc w:val="left"/>
        <w:rPr>
          <w:rFonts w:hint="eastAsia" w:ascii="楷体_GB2312" w:eastAsia="楷体_GB2312" w:cs="Times New Roman"/>
          <w:b/>
          <w:sz w:val="32"/>
          <w:szCs w:val="32"/>
        </w:rPr>
      </w:pPr>
    </w:p>
    <w:p>
      <w:pPr>
        <w:overflowPunct w:val="0"/>
        <w:adjustRightInd w:val="0"/>
        <w:snapToGrid w:val="0"/>
        <w:spacing w:after="156" w:afterLines="50" w:line="580" w:lineRule="exact"/>
        <w:ind w:firstLine="630" w:firstLineChars="196"/>
        <w:jc w:val="left"/>
        <w:rPr>
          <w:rFonts w:hint="eastAsia" w:ascii="楷体_GB2312" w:eastAsia="楷体_GB2312" w:cs="Times New Roman"/>
          <w:b/>
          <w:sz w:val="32"/>
          <w:szCs w:val="32"/>
        </w:rPr>
      </w:pPr>
    </w:p>
    <w:p>
      <w:pPr>
        <w:overflowPunct w:val="0"/>
        <w:adjustRightInd w:val="0"/>
        <w:snapToGrid w:val="0"/>
        <w:spacing w:after="156" w:afterLines="50" w:line="580" w:lineRule="exact"/>
        <w:ind w:firstLine="630" w:firstLineChars="196"/>
        <w:jc w:val="left"/>
        <w:rPr>
          <w:rFonts w:hint="eastAsia" w:ascii="楷体_GB2312" w:eastAsia="楷体_GB2312" w:cs="Times New Roman"/>
          <w:b/>
          <w:sz w:val="32"/>
          <w:szCs w:val="32"/>
        </w:rPr>
      </w:pPr>
    </w:p>
    <w:p>
      <w:pPr>
        <w:overflowPunct w:val="0"/>
        <w:adjustRightInd w:val="0"/>
        <w:snapToGrid w:val="0"/>
        <w:spacing w:after="156" w:afterLines="50" w:line="580" w:lineRule="exact"/>
        <w:ind w:firstLine="630" w:firstLineChars="196"/>
        <w:jc w:val="left"/>
        <w:rPr>
          <w:rFonts w:hint="eastAsia" w:ascii="Times New Roman" w:hAnsi="Times New Roman" w:eastAsia="黑体" w:cs="Times New Roman"/>
          <w:sz w:val="32"/>
          <w:szCs w:val="32"/>
        </w:rPr>
      </w:pPr>
      <w:r>
        <w:rPr>
          <w:rFonts w:hint="eastAsia" w:ascii="楷体_GB2312" w:eastAsia="楷体_GB2312" w:cs="Times New Roman"/>
          <w:b/>
          <w:sz w:val="32"/>
          <w:szCs w:val="32"/>
        </w:rPr>
        <w:t>（四）</w:t>
      </w:r>
      <w:r>
        <w:rPr>
          <w:rFonts w:hint="eastAsia" w:ascii="楷体_GB2312" w:eastAsia="楷体_GB2312" w:cs="Times New Roman"/>
          <w:b/>
          <w:sz w:val="32"/>
          <w:szCs w:val="32"/>
          <w:lang w:eastAsia="zh-CN"/>
        </w:rPr>
        <w:t>单位</w:t>
      </w:r>
      <w:r>
        <w:rPr>
          <w:rFonts w:hint="eastAsia" w:ascii="楷体_GB2312" w:eastAsia="楷体_GB2312" w:cs="Times New Roman"/>
          <w:b/>
          <w:sz w:val="32"/>
          <w:szCs w:val="32"/>
        </w:rPr>
        <w:t>整体支出绩效指标</w:t>
      </w:r>
    </w:p>
    <w:tbl>
      <w:tblPr>
        <w:tblStyle w:val="9"/>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70"/>
        <w:gridCol w:w="1185"/>
        <w:gridCol w:w="1965"/>
        <w:gridCol w:w="2640"/>
        <w:gridCol w:w="2715"/>
        <w:gridCol w:w="690"/>
        <w:gridCol w:w="802"/>
        <w:gridCol w:w="669"/>
        <w:gridCol w:w="23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blHeader/>
        </w:trPr>
        <w:tc>
          <w:tcPr>
            <w:tcW w:w="413"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一级指标</w:t>
            </w:r>
          </w:p>
        </w:tc>
        <w:tc>
          <w:tcPr>
            <w:tcW w:w="418"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二级指标</w:t>
            </w:r>
          </w:p>
        </w:tc>
        <w:tc>
          <w:tcPr>
            <w:tcW w:w="693"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三级指标　</w:t>
            </w:r>
          </w:p>
        </w:tc>
        <w:tc>
          <w:tcPr>
            <w:tcW w:w="932"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评（扣）分标准</w:t>
            </w:r>
          </w:p>
        </w:tc>
        <w:tc>
          <w:tcPr>
            <w:tcW w:w="958"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绩效指标描述</w:t>
            </w:r>
          </w:p>
        </w:tc>
        <w:tc>
          <w:tcPr>
            <w:tcW w:w="762"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指标值</w:t>
            </w:r>
          </w:p>
        </w:tc>
        <w:tc>
          <w:tcPr>
            <w:tcW w:w="821" w:type="pct"/>
            <w:vMerge w:val="restart"/>
            <w:tcBorders>
              <w:top w:val="single" w:color="000000" w:sz="8" w:space="0"/>
              <w:left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指标值确定依据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blHeader/>
        </w:trPr>
        <w:tc>
          <w:tcPr>
            <w:tcW w:w="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b/>
                <w:bCs/>
                <w:i w:val="0"/>
                <w:iCs w:val="0"/>
                <w:color w:val="000000"/>
                <w:sz w:val="21"/>
                <w:szCs w:val="21"/>
                <w:u w:val="none"/>
              </w:rPr>
            </w:pPr>
          </w:p>
        </w:tc>
        <w:tc>
          <w:tcPr>
            <w:tcW w:w="41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b/>
                <w:bCs/>
                <w:i w:val="0"/>
                <w:iCs w:val="0"/>
                <w:color w:val="000000"/>
                <w:sz w:val="21"/>
                <w:szCs w:val="21"/>
                <w:u w:val="none"/>
              </w:rPr>
            </w:pPr>
          </w:p>
        </w:tc>
        <w:tc>
          <w:tcPr>
            <w:tcW w:w="69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b/>
                <w:bCs/>
                <w:i w:val="0"/>
                <w:iCs w:val="0"/>
                <w:color w:val="000000"/>
                <w:sz w:val="21"/>
                <w:szCs w:val="21"/>
                <w:u w:val="none"/>
              </w:rPr>
            </w:pPr>
          </w:p>
        </w:tc>
        <w:tc>
          <w:tcPr>
            <w:tcW w:w="93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b/>
                <w:bCs/>
                <w:i w:val="0"/>
                <w:iCs w:val="0"/>
                <w:color w:val="000000"/>
                <w:sz w:val="21"/>
                <w:szCs w:val="21"/>
                <w:u w:val="none"/>
              </w:rPr>
            </w:pPr>
          </w:p>
        </w:tc>
        <w:tc>
          <w:tcPr>
            <w:tcW w:w="95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b/>
                <w:bCs/>
                <w:i w:val="0"/>
                <w:iCs w:val="0"/>
                <w:color w:val="000000"/>
                <w:sz w:val="21"/>
                <w:szCs w:val="21"/>
                <w:u w:val="none"/>
              </w:rPr>
            </w:pPr>
          </w:p>
        </w:tc>
        <w:tc>
          <w:tcPr>
            <w:tcW w:w="243" w:type="pct"/>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符号</w:t>
            </w:r>
          </w:p>
        </w:tc>
        <w:tc>
          <w:tcPr>
            <w:tcW w:w="283" w:type="pct"/>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值</w:t>
            </w:r>
          </w:p>
        </w:tc>
        <w:tc>
          <w:tcPr>
            <w:tcW w:w="236" w:type="pct"/>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单位</w:t>
            </w:r>
          </w:p>
        </w:tc>
        <w:tc>
          <w:tcPr>
            <w:tcW w:w="821" w:type="pct"/>
            <w:vMerge w:val="continue"/>
            <w:tcBorders>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413"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单位产出</w:t>
            </w:r>
          </w:p>
        </w:tc>
        <w:tc>
          <w:tcPr>
            <w:tcW w:w="418" w:type="pct"/>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数量</w:t>
            </w:r>
          </w:p>
        </w:tc>
        <w:tc>
          <w:tcPr>
            <w:tcW w:w="69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桌面应急演练次数</w:t>
            </w:r>
          </w:p>
        </w:tc>
        <w:tc>
          <w:tcPr>
            <w:tcW w:w="93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每少演练一次，扣除权重分的50%。</w:t>
            </w:r>
          </w:p>
        </w:tc>
        <w:tc>
          <w:tcPr>
            <w:tcW w:w="958"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全年组织重特大事故救援演练、地震应急演练次数。</w:t>
            </w:r>
          </w:p>
        </w:tc>
        <w:tc>
          <w:tcPr>
            <w:tcW w:w="24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28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w:t>
            </w:r>
          </w:p>
        </w:tc>
        <w:tc>
          <w:tcPr>
            <w:tcW w:w="236"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次</w:t>
            </w:r>
          </w:p>
        </w:tc>
        <w:tc>
          <w:tcPr>
            <w:tcW w:w="821"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《生产安全事故应急预案管理办法》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413"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418" w:type="pct"/>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69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新建信息平台功能模块数量</w:t>
            </w:r>
          </w:p>
        </w:tc>
        <w:tc>
          <w:tcPr>
            <w:tcW w:w="93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每少建设一套，扣除权重分的25%。</w:t>
            </w:r>
          </w:p>
        </w:tc>
        <w:tc>
          <w:tcPr>
            <w:tcW w:w="958"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新建功能模块数量。</w:t>
            </w:r>
          </w:p>
        </w:tc>
        <w:tc>
          <w:tcPr>
            <w:tcW w:w="24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28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w:t>
            </w:r>
          </w:p>
        </w:tc>
        <w:tc>
          <w:tcPr>
            <w:tcW w:w="236"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套</w:t>
            </w:r>
          </w:p>
        </w:tc>
        <w:tc>
          <w:tcPr>
            <w:tcW w:w="821"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《河北省应急管理信息化发展规划》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3"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418" w:type="pct"/>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69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开展安全生产专项整治三年行动行业领域单位个数</w:t>
            </w:r>
          </w:p>
        </w:tc>
        <w:tc>
          <w:tcPr>
            <w:tcW w:w="93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每少组织一个行业，扣除权重分的10%。</w:t>
            </w:r>
          </w:p>
        </w:tc>
        <w:tc>
          <w:tcPr>
            <w:tcW w:w="958"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指导、推动、督促全市安全生产专项整治三年行动重大政策措施、重点工作任务落地落实。</w:t>
            </w:r>
          </w:p>
        </w:tc>
        <w:tc>
          <w:tcPr>
            <w:tcW w:w="24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28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13</w:t>
            </w:r>
          </w:p>
        </w:tc>
        <w:tc>
          <w:tcPr>
            <w:tcW w:w="236"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个</w:t>
            </w:r>
          </w:p>
        </w:tc>
        <w:tc>
          <w:tcPr>
            <w:tcW w:w="821"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廊坊市安全生产专项整治三年行动工作方案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413"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418" w:type="pct"/>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69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安全生产事故数和死亡人数下降率</w:t>
            </w:r>
          </w:p>
        </w:tc>
        <w:tc>
          <w:tcPr>
            <w:tcW w:w="93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事故数和死亡人数，一项目未下降，扣除权重分的50%。</w:t>
            </w:r>
          </w:p>
        </w:tc>
        <w:tc>
          <w:tcPr>
            <w:tcW w:w="958"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安全生产事故数和死亡人数与上年相比的下降情况。</w:t>
            </w:r>
          </w:p>
        </w:tc>
        <w:tc>
          <w:tcPr>
            <w:tcW w:w="24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28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0</w:t>
            </w:r>
          </w:p>
        </w:tc>
        <w:tc>
          <w:tcPr>
            <w:tcW w:w="236"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821"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年度工作计划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13"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418" w:type="pct"/>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69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信息化系统稳定运行时间</w:t>
            </w:r>
          </w:p>
        </w:tc>
        <w:tc>
          <w:tcPr>
            <w:tcW w:w="93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无故障运行天数每减少1天，扣除权重分的1%。</w:t>
            </w:r>
          </w:p>
        </w:tc>
        <w:tc>
          <w:tcPr>
            <w:tcW w:w="958"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全年系统无故障运行时间。</w:t>
            </w:r>
          </w:p>
        </w:tc>
        <w:tc>
          <w:tcPr>
            <w:tcW w:w="24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28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300</w:t>
            </w:r>
          </w:p>
        </w:tc>
        <w:tc>
          <w:tcPr>
            <w:tcW w:w="236"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天</w:t>
            </w:r>
          </w:p>
        </w:tc>
        <w:tc>
          <w:tcPr>
            <w:tcW w:w="821"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工作实际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13"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418" w:type="pct"/>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69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安全生产事故隐患举报受理率</w:t>
            </w:r>
          </w:p>
        </w:tc>
        <w:tc>
          <w:tcPr>
            <w:tcW w:w="93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受理率下降5个百分点，扣除权重分的10%。</w:t>
            </w:r>
          </w:p>
        </w:tc>
        <w:tc>
          <w:tcPr>
            <w:tcW w:w="958"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对符合受理条件的举报案件的受理率。</w:t>
            </w:r>
          </w:p>
        </w:tc>
        <w:tc>
          <w:tcPr>
            <w:tcW w:w="24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28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100</w:t>
            </w:r>
          </w:p>
        </w:tc>
        <w:tc>
          <w:tcPr>
            <w:tcW w:w="236"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821"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r>
              <w:rPr>
                <w:rStyle w:val="24"/>
                <w:rFonts w:hint="eastAsia" w:ascii="仿宋_GB2312" w:hAnsi="仿宋_GB2312" w:eastAsia="仿宋_GB2312" w:cs="仿宋_GB2312"/>
                <w:sz w:val="21"/>
                <w:szCs w:val="21"/>
                <w:lang w:val="en-US" w:eastAsia="zh-CN" w:bidi="ar"/>
              </w:rPr>
              <w:t>廊坊市安全生产领域举报奖励办法》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13"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418" w:type="pct"/>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69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受灾群众救助率</w:t>
            </w:r>
          </w:p>
        </w:tc>
        <w:tc>
          <w:tcPr>
            <w:tcW w:w="93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救助率</w:t>
            </w:r>
            <w:r>
              <w:rPr>
                <w:rStyle w:val="24"/>
                <w:rFonts w:hint="eastAsia" w:ascii="仿宋_GB2312" w:hAnsi="仿宋_GB2312" w:eastAsia="仿宋_GB2312" w:cs="仿宋_GB2312"/>
                <w:sz w:val="21"/>
                <w:szCs w:val="21"/>
                <w:lang w:val="en-US" w:eastAsia="zh-CN" w:bidi="ar"/>
              </w:rPr>
              <w:t>下降5个百分点，扣除权重分的10%。</w:t>
            </w:r>
          </w:p>
        </w:tc>
        <w:tc>
          <w:tcPr>
            <w:tcW w:w="958"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对受灾人员救助率。</w:t>
            </w:r>
          </w:p>
        </w:tc>
        <w:tc>
          <w:tcPr>
            <w:tcW w:w="24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28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100</w:t>
            </w:r>
          </w:p>
        </w:tc>
        <w:tc>
          <w:tcPr>
            <w:tcW w:w="236"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821"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《河北省自然灾害生活救助资金管理办法》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413"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418" w:type="pct"/>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69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新增网络安全设备数量</w:t>
            </w:r>
          </w:p>
        </w:tc>
        <w:tc>
          <w:tcPr>
            <w:tcW w:w="93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少新增1台，扣除权重分的10%。</w:t>
            </w:r>
          </w:p>
        </w:tc>
        <w:tc>
          <w:tcPr>
            <w:tcW w:w="958"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增加10台网络安全设备。</w:t>
            </w:r>
          </w:p>
        </w:tc>
        <w:tc>
          <w:tcPr>
            <w:tcW w:w="24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Style w:val="24"/>
                <w:rFonts w:hint="eastAsia" w:ascii="仿宋_GB2312" w:hAnsi="仿宋_GB2312" w:eastAsia="仿宋_GB2312" w:cs="仿宋_GB2312"/>
                <w:sz w:val="21"/>
                <w:szCs w:val="21"/>
                <w:lang w:val="en-US" w:eastAsia="zh-CN" w:bidi="ar"/>
              </w:rPr>
              <w:t>≥</w:t>
            </w:r>
          </w:p>
        </w:tc>
        <w:tc>
          <w:tcPr>
            <w:tcW w:w="28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236"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台</w:t>
            </w:r>
          </w:p>
        </w:tc>
        <w:tc>
          <w:tcPr>
            <w:tcW w:w="821"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《网络安全法》《信息安全技术 网络安全等级保护基本要求》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413"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418" w:type="pct"/>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69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执法监察计划完成率</w:t>
            </w:r>
          </w:p>
        </w:tc>
        <w:tc>
          <w:tcPr>
            <w:tcW w:w="93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执法监察完成率每下降5个百分点，扣除权重分的10%。</w:t>
            </w:r>
          </w:p>
        </w:tc>
        <w:tc>
          <w:tcPr>
            <w:tcW w:w="958"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年度执法监察计划按量完成率。</w:t>
            </w:r>
          </w:p>
        </w:tc>
        <w:tc>
          <w:tcPr>
            <w:tcW w:w="24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28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100</w:t>
            </w:r>
          </w:p>
        </w:tc>
        <w:tc>
          <w:tcPr>
            <w:tcW w:w="236"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821"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年度执法监察计划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13"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418" w:type="pct"/>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69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防灾救灾和安全生产培训人数</w:t>
            </w:r>
          </w:p>
        </w:tc>
        <w:tc>
          <w:tcPr>
            <w:tcW w:w="93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培训人数每减少100人，扣除权重分的5%。</w:t>
            </w:r>
          </w:p>
        </w:tc>
        <w:tc>
          <w:tcPr>
            <w:tcW w:w="958"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全年完成安全培训人数。</w:t>
            </w:r>
          </w:p>
        </w:tc>
        <w:tc>
          <w:tcPr>
            <w:tcW w:w="24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28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2000</w:t>
            </w:r>
          </w:p>
        </w:tc>
        <w:tc>
          <w:tcPr>
            <w:tcW w:w="236"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人</w:t>
            </w:r>
          </w:p>
        </w:tc>
        <w:tc>
          <w:tcPr>
            <w:tcW w:w="821"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《安全生产培训管理办法》等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413"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418" w:type="pct"/>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69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应急宣传集中活动数量</w:t>
            </w:r>
          </w:p>
        </w:tc>
        <w:tc>
          <w:tcPr>
            <w:tcW w:w="93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每少开展一次，扣除权重分的50%。</w:t>
            </w:r>
          </w:p>
        </w:tc>
        <w:tc>
          <w:tcPr>
            <w:tcW w:w="958"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组织开展安全生产月集中宣传日、全国减灾日等集中宣传活动次数。</w:t>
            </w:r>
          </w:p>
        </w:tc>
        <w:tc>
          <w:tcPr>
            <w:tcW w:w="24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28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w:t>
            </w:r>
          </w:p>
        </w:tc>
        <w:tc>
          <w:tcPr>
            <w:tcW w:w="236"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次</w:t>
            </w:r>
          </w:p>
        </w:tc>
        <w:tc>
          <w:tcPr>
            <w:tcW w:w="821"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年度工作计划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13"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418" w:type="pct"/>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69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“三类人员”考核人数　</w:t>
            </w:r>
          </w:p>
        </w:tc>
        <w:tc>
          <w:tcPr>
            <w:tcW w:w="93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每少考核100人，扣除权重分的1%。</w:t>
            </w:r>
          </w:p>
        </w:tc>
        <w:tc>
          <w:tcPr>
            <w:tcW w:w="958"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全年组织全市“三类人员”考试、考核人数。　</w:t>
            </w:r>
          </w:p>
        </w:tc>
        <w:tc>
          <w:tcPr>
            <w:tcW w:w="24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28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8000</w:t>
            </w:r>
          </w:p>
        </w:tc>
        <w:tc>
          <w:tcPr>
            <w:tcW w:w="236"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人次</w:t>
            </w:r>
          </w:p>
        </w:tc>
        <w:tc>
          <w:tcPr>
            <w:tcW w:w="821"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年度工作计划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13"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418" w:type="pct"/>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69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安全生产执法检查企业数</w:t>
            </w:r>
          </w:p>
        </w:tc>
        <w:tc>
          <w:tcPr>
            <w:tcW w:w="93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每少执法检查4家企业，扣除权重分的10%。</w:t>
            </w:r>
          </w:p>
        </w:tc>
        <w:tc>
          <w:tcPr>
            <w:tcW w:w="958"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全年对重点生产经营单位执法检查数量。</w:t>
            </w:r>
          </w:p>
        </w:tc>
        <w:tc>
          <w:tcPr>
            <w:tcW w:w="24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28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80</w:t>
            </w:r>
          </w:p>
        </w:tc>
        <w:tc>
          <w:tcPr>
            <w:tcW w:w="236"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家</w:t>
            </w:r>
          </w:p>
        </w:tc>
        <w:tc>
          <w:tcPr>
            <w:tcW w:w="821"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年度执法监察计划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13"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418" w:type="pct"/>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69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应急宣传受众人数</w:t>
            </w:r>
          </w:p>
        </w:tc>
        <w:tc>
          <w:tcPr>
            <w:tcW w:w="93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宣传受众人数每减少1万人次，扣除权重分的1%。</w:t>
            </w:r>
          </w:p>
        </w:tc>
        <w:tc>
          <w:tcPr>
            <w:tcW w:w="958"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应急宣传受众人数。</w:t>
            </w:r>
          </w:p>
        </w:tc>
        <w:tc>
          <w:tcPr>
            <w:tcW w:w="24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28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100万</w:t>
            </w:r>
          </w:p>
        </w:tc>
        <w:tc>
          <w:tcPr>
            <w:tcW w:w="236"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人次</w:t>
            </w:r>
          </w:p>
        </w:tc>
        <w:tc>
          <w:tcPr>
            <w:tcW w:w="821"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年度工作计划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 w:hRule="atLeast"/>
        </w:trPr>
        <w:tc>
          <w:tcPr>
            <w:tcW w:w="413"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418" w:type="pct"/>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质量</w:t>
            </w:r>
          </w:p>
        </w:tc>
        <w:tc>
          <w:tcPr>
            <w:tcW w:w="69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演练流程规范率</w:t>
            </w:r>
          </w:p>
        </w:tc>
        <w:tc>
          <w:tcPr>
            <w:tcW w:w="93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规范率每下降5个百分点，扣除权重分的10%。</w:t>
            </w:r>
          </w:p>
        </w:tc>
        <w:tc>
          <w:tcPr>
            <w:tcW w:w="958"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演练流程规范率。</w:t>
            </w:r>
          </w:p>
        </w:tc>
        <w:tc>
          <w:tcPr>
            <w:tcW w:w="24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28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100</w:t>
            </w:r>
          </w:p>
        </w:tc>
        <w:tc>
          <w:tcPr>
            <w:tcW w:w="236"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821"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《生产安全事故应急预案管理办法》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3"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418" w:type="pct"/>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69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行政复议、诉讼败诉率</w:t>
            </w:r>
          </w:p>
        </w:tc>
        <w:tc>
          <w:tcPr>
            <w:tcW w:w="93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每发生1件行政复议、诉讼败诉案，扣除权重分的20%。</w:t>
            </w:r>
          </w:p>
        </w:tc>
        <w:tc>
          <w:tcPr>
            <w:tcW w:w="958"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严格依法行政，全年办理行政执法和行政许可案件错误率。</w:t>
            </w:r>
          </w:p>
        </w:tc>
        <w:tc>
          <w:tcPr>
            <w:tcW w:w="24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28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0</w:t>
            </w:r>
          </w:p>
        </w:tc>
        <w:tc>
          <w:tcPr>
            <w:tcW w:w="236"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821"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《安全生产</w:t>
            </w:r>
            <w:r>
              <w:rPr>
                <w:rStyle w:val="24"/>
                <w:rFonts w:hint="eastAsia" w:ascii="仿宋_GB2312" w:hAnsi="仿宋_GB2312" w:eastAsia="仿宋_GB2312" w:cs="仿宋_GB2312"/>
                <w:sz w:val="21"/>
                <w:szCs w:val="21"/>
                <w:lang w:val="en-US" w:eastAsia="zh-CN" w:bidi="ar"/>
              </w:rPr>
              <w:t xml:space="preserve"> 法》等。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413"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418" w:type="pct"/>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69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安全隐患整改率</w:t>
            </w:r>
          </w:p>
        </w:tc>
        <w:tc>
          <w:tcPr>
            <w:tcW w:w="93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整改率每下降1个百分点，扣除权重分的5%。</w:t>
            </w:r>
          </w:p>
        </w:tc>
        <w:tc>
          <w:tcPr>
            <w:tcW w:w="958"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整改率=（完成整改数/排查出隐患总数）*100%</w:t>
            </w:r>
          </w:p>
        </w:tc>
        <w:tc>
          <w:tcPr>
            <w:tcW w:w="24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28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100</w:t>
            </w:r>
          </w:p>
        </w:tc>
        <w:tc>
          <w:tcPr>
            <w:tcW w:w="236"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821"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《安全生产</w:t>
            </w:r>
            <w:r>
              <w:rPr>
                <w:rStyle w:val="24"/>
                <w:rFonts w:hint="eastAsia" w:ascii="仿宋_GB2312" w:hAnsi="仿宋_GB2312" w:eastAsia="仿宋_GB2312" w:cs="仿宋_GB2312"/>
                <w:sz w:val="21"/>
                <w:szCs w:val="21"/>
                <w:lang w:val="en-US" w:eastAsia="zh-CN" w:bidi="ar"/>
              </w:rPr>
              <w:t xml:space="preserve"> 法》等。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413"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418" w:type="pct"/>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69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灾害、事故有效处置率</w:t>
            </w:r>
          </w:p>
        </w:tc>
        <w:tc>
          <w:tcPr>
            <w:tcW w:w="93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有效处置率每下降1个百分点，扣除权重分的5%。</w:t>
            </w:r>
          </w:p>
        </w:tc>
        <w:tc>
          <w:tcPr>
            <w:tcW w:w="958"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灾害、事故按照相关规定处置。</w:t>
            </w:r>
          </w:p>
        </w:tc>
        <w:tc>
          <w:tcPr>
            <w:tcW w:w="24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28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100</w:t>
            </w:r>
          </w:p>
        </w:tc>
        <w:tc>
          <w:tcPr>
            <w:tcW w:w="236"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821"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年度工作计划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13"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418" w:type="pct"/>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69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举报案件规范调查处理率</w:t>
            </w:r>
          </w:p>
        </w:tc>
        <w:tc>
          <w:tcPr>
            <w:tcW w:w="93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每发生1件未规范调查处理的案件，扣除权重分的10%。</w:t>
            </w:r>
          </w:p>
        </w:tc>
        <w:tc>
          <w:tcPr>
            <w:tcW w:w="958"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举报案件依法调查处理率。</w:t>
            </w:r>
          </w:p>
        </w:tc>
        <w:tc>
          <w:tcPr>
            <w:tcW w:w="24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28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100</w:t>
            </w:r>
          </w:p>
        </w:tc>
        <w:tc>
          <w:tcPr>
            <w:tcW w:w="236"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821"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r>
              <w:rPr>
                <w:rStyle w:val="24"/>
                <w:rFonts w:hint="eastAsia" w:ascii="仿宋_GB2312" w:hAnsi="仿宋_GB2312" w:eastAsia="仿宋_GB2312" w:cs="仿宋_GB2312"/>
                <w:sz w:val="21"/>
                <w:szCs w:val="21"/>
                <w:lang w:val="en-US" w:eastAsia="zh-CN" w:bidi="ar"/>
              </w:rPr>
              <w:t>廊坊市安全生产领域举报奖励办法》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13"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418" w:type="pct"/>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69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网络安全运行率</w:t>
            </w:r>
          </w:p>
        </w:tc>
        <w:tc>
          <w:tcPr>
            <w:tcW w:w="93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全运行率每下降5个百分点，扣除权重分的10%。</w:t>
            </w:r>
          </w:p>
        </w:tc>
        <w:tc>
          <w:tcPr>
            <w:tcW w:w="958"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应急管理信息化平台网络安全运行率（安全运行天数/全年天数）。</w:t>
            </w:r>
          </w:p>
        </w:tc>
        <w:tc>
          <w:tcPr>
            <w:tcW w:w="24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28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95</w:t>
            </w:r>
          </w:p>
        </w:tc>
        <w:tc>
          <w:tcPr>
            <w:tcW w:w="236"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821"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《信息安全技术 网络安全等级保护基本要求》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413"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418" w:type="pct"/>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69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培训合格率</w:t>
            </w:r>
          </w:p>
        </w:tc>
        <w:tc>
          <w:tcPr>
            <w:tcW w:w="93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培训合格率每下降5个百分点，扣除权重分的10%。</w:t>
            </w:r>
          </w:p>
        </w:tc>
        <w:tc>
          <w:tcPr>
            <w:tcW w:w="958"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培训合格人数占总参训人数的比例。</w:t>
            </w:r>
          </w:p>
        </w:tc>
        <w:tc>
          <w:tcPr>
            <w:tcW w:w="24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28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95</w:t>
            </w:r>
          </w:p>
        </w:tc>
        <w:tc>
          <w:tcPr>
            <w:tcW w:w="236"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821"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《安全生产培训管理办法》《河北省安全生产监督管理局重大行政执法决定法制审核制度（试行）》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413"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418"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时效</w:t>
            </w:r>
          </w:p>
        </w:tc>
        <w:tc>
          <w:tcPr>
            <w:tcW w:w="69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各项重点工作按时完成率。</w:t>
            </w:r>
          </w:p>
        </w:tc>
        <w:tc>
          <w:tcPr>
            <w:tcW w:w="93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每有1项重点工作未按时完成，扣除权重分的10%。</w:t>
            </w:r>
          </w:p>
        </w:tc>
        <w:tc>
          <w:tcPr>
            <w:tcW w:w="958"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各项重点工作在本年度内按计划时间完成情况。</w:t>
            </w:r>
          </w:p>
        </w:tc>
        <w:tc>
          <w:tcPr>
            <w:tcW w:w="24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28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100</w:t>
            </w:r>
          </w:p>
        </w:tc>
        <w:tc>
          <w:tcPr>
            <w:tcW w:w="236"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821"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年度工作计划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413"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418" w:type="pct"/>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成本</w:t>
            </w:r>
          </w:p>
        </w:tc>
        <w:tc>
          <w:tcPr>
            <w:tcW w:w="69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重特大事故救援</w:t>
            </w:r>
            <w:r>
              <w:rPr>
                <w:rStyle w:val="24"/>
                <w:rFonts w:hint="eastAsia" w:ascii="仿宋_GB2312" w:hAnsi="仿宋_GB2312" w:eastAsia="仿宋_GB2312" w:cs="仿宋_GB2312"/>
                <w:sz w:val="21"/>
                <w:szCs w:val="21"/>
                <w:lang w:val="en-US" w:eastAsia="zh-CN" w:bidi="ar"/>
              </w:rPr>
              <w:t>演练支出费用　</w:t>
            </w:r>
          </w:p>
        </w:tc>
        <w:tc>
          <w:tcPr>
            <w:tcW w:w="93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超过50万元权重分为0。</w:t>
            </w:r>
          </w:p>
        </w:tc>
        <w:tc>
          <w:tcPr>
            <w:tcW w:w="958"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总成本不超过50万元。</w:t>
            </w:r>
          </w:p>
        </w:tc>
        <w:tc>
          <w:tcPr>
            <w:tcW w:w="24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28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50</w:t>
            </w:r>
          </w:p>
        </w:tc>
        <w:tc>
          <w:tcPr>
            <w:tcW w:w="236"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万元</w:t>
            </w:r>
          </w:p>
        </w:tc>
        <w:tc>
          <w:tcPr>
            <w:tcW w:w="821"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《廊坊市应急管理局财务管理办法》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413"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418" w:type="pct"/>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69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信息平台设备购置不高于预算</w:t>
            </w:r>
          </w:p>
        </w:tc>
        <w:tc>
          <w:tcPr>
            <w:tcW w:w="93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超过105万元权重分为0。</w:t>
            </w:r>
          </w:p>
        </w:tc>
        <w:tc>
          <w:tcPr>
            <w:tcW w:w="958"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不超过当年预算。</w:t>
            </w:r>
          </w:p>
        </w:tc>
        <w:tc>
          <w:tcPr>
            <w:tcW w:w="24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28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105</w:t>
            </w:r>
          </w:p>
        </w:tc>
        <w:tc>
          <w:tcPr>
            <w:tcW w:w="236"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万元</w:t>
            </w:r>
          </w:p>
        </w:tc>
        <w:tc>
          <w:tcPr>
            <w:tcW w:w="821"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《廊坊市应急管理局财务管理办法》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413"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418" w:type="pct"/>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69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公用经费控制率</w:t>
            </w:r>
          </w:p>
        </w:tc>
        <w:tc>
          <w:tcPr>
            <w:tcW w:w="93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每超预算5个百分点，扣除权重分的10%。</w:t>
            </w:r>
          </w:p>
        </w:tc>
        <w:tc>
          <w:tcPr>
            <w:tcW w:w="958"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本年度实际支出的公用经费总额小于预算安排的公经费用经费总额。反映和考核对运转成本的实际控制程度。</w:t>
            </w:r>
          </w:p>
        </w:tc>
        <w:tc>
          <w:tcPr>
            <w:tcW w:w="24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28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100</w:t>
            </w:r>
          </w:p>
        </w:tc>
        <w:tc>
          <w:tcPr>
            <w:tcW w:w="236"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821"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《廊坊市应急管理局财务管理办法》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13"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418" w:type="pct"/>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69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人均培训费用</w:t>
            </w:r>
          </w:p>
        </w:tc>
        <w:tc>
          <w:tcPr>
            <w:tcW w:w="93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每发生一次超标准情况，扣除权重分的10%。</w:t>
            </w:r>
          </w:p>
        </w:tc>
        <w:tc>
          <w:tcPr>
            <w:tcW w:w="958"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每人每天的培训费用。</w:t>
            </w:r>
          </w:p>
        </w:tc>
        <w:tc>
          <w:tcPr>
            <w:tcW w:w="24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28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450</w:t>
            </w:r>
          </w:p>
        </w:tc>
        <w:tc>
          <w:tcPr>
            <w:tcW w:w="236"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元</w:t>
            </w:r>
          </w:p>
        </w:tc>
        <w:tc>
          <w:tcPr>
            <w:tcW w:w="821"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《廊坊市市级机关培训管理办法》等。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13"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418" w:type="pct"/>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69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会议住宿用房单价</w:t>
            </w:r>
          </w:p>
        </w:tc>
        <w:tc>
          <w:tcPr>
            <w:tcW w:w="93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每发生一次超标准情况，扣除权重分的10%。</w:t>
            </w:r>
          </w:p>
        </w:tc>
        <w:tc>
          <w:tcPr>
            <w:tcW w:w="958"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会议住宿用房单价。</w:t>
            </w:r>
          </w:p>
        </w:tc>
        <w:tc>
          <w:tcPr>
            <w:tcW w:w="24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28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310</w:t>
            </w:r>
          </w:p>
        </w:tc>
        <w:tc>
          <w:tcPr>
            <w:tcW w:w="236"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元</w:t>
            </w:r>
          </w:p>
        </w:tc>
        <w:tc>
          <w:tcPr>
            <w:tcW w:w="821"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《廊坊市市级机关会议管理办法》等。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trPr>
        <w:tc>
          <w:tcPr>
            <w:tcW w:w="413"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单位效果</w:t>
            </w:r>
          </w:p>
        </w:tc>
        <w:tc>
          <w:tcPr>
            <w:tcW w:w="418"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社会效益</w:t>
            </w:r>
          </w:p>
        </w:tc>
        <w:tc>
          <w:tcPr>
            <w:tcW w:w="69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防灾、减灾和救灾能力提升</w:t>
            </w:r>
          </w:p>
        </w:tc>
        <w:tc>
          <w:tcPr>
            <w:tcW w:w="93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提升得满分，不提升不得分。</w:t>
            </w:r>
          </w:p>
        </w:tc>
        <w:tc>
          <w:tcPr>
            <w:tcW w:w="958"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防灾、减灾和救灾能力提升。</w:t>
            </w:r>
          </w:p>
        </w:tc>
        <w:tc>
          <w:tcPr>
            <w:tcW w:w="243" w:type="pct"/>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28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提升</w:t>
            </w:r>
          </w:p>
        </w:tc>
        <w:tc>
          <w:tcPr>
            <w:tcW w:w="236" w:type="pct"/>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821"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年度工作计划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41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69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应急救援能力提升</w:t>
            </w:r>
          </w:p>
        </w:tc>
        <w:tc>
          <w:tcPr>
            <w:tcW w:w="93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提升得满分，不提升不得分。</w:t>
            </w:r>
          </w:p>
        </w:tc>
        <w:tc>
          <w:tcPr>
            <w:tcW w:w="958"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演练达到预期效果，应急预案进一步完善，应急救援能力提。</w:t>
            </w:r>
          </w:p>
        </w:tc>
        <w:tc>
          <w:tcPr>
            <w:tcW w:w="243" w:type="pct"/>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28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提升</w:t>
            </w:r>
          </w:p>
        </w:tc>
        <w:tc>
          <w:tcPr>
            <w:tcW w:w="236" w:type="pct"/>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821"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《生产安全事故应急预案管理办法》等。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41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69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提高应急管理信息化水平</w:t>
            </w:r>
          </w:p>
        </w:tc>
        <w:tc>
          <w:tcPr>
            <w:tcW w:w="93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提高得满分，不提升不得分。</w:t>
            </w:r>
          </w:p>
        </w:tc>
        <w:tc>
          <w:tcPr>
            <w:tcW w:w="958"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提高应急管理信息化水平。</w:t>
            </w:r>
          </w:p>
        </w:tc>
        <w:tc>
          <w:tcPr>
            <w:tcW w:w="243" w:type="pct"/>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28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提高</w:t>
            </w:r>
          </w:p>
        </w:tc>
        <w:tc>
          <w:tcPr>
            <w:tcW w:w="236" w:type="pct"/>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821"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《河北省应急管理信息化发展规划》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5" w:hRule="atLeast"/>
        </w:trPr>
        <w:tc>
          <w:tcPr>
            <w:tcW w:w="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41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69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安全生产形势稳定</w:t>
            </w:r>
          </w:p>
        </w:tc>
        <w:tc>
          <w:tcPr>
            <w:tcW w:w="93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稳定得满分，不提升不得分。</w:t>
            </w:r>
          </w:p>
        </w:tc>
        <w:tc>
          <w:tcPr>
            <w:tcW w:w="958"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全市安全生产形势稳定，降低人民生命和财产损失。</w:t>
            </w:r>
          </w:p>
        </w:tc>
        <w:tc>
          <w:tcPr>
            <w:tcW w:w="243" w:type="pct"/>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28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稳定</w:t>
            </w:r>
          </w:p>
        </w:tc>
        <w:tc>
          <w:tcPr>
            <w:tcW w:w="236" w:type="pct"/>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821"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年度工作计划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41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69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提升从业人员安全生产能力和水平</w:t>
            </w:r>
          </w:p>
        </w:tc>
        <w:tc>
          <w:tcPr>
            <w:tcW w:w="93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提升得满分，不提升不得分。</w:t>
            </w:r>
          </w:p>
        </w:tc>
        <w:tc>
          <w:tcPr>
            <w:tcW w:w="958"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提升从业人员安全生产能力和水平。</w:t>
            </w:r>
          </w:p>
        </w:tc>
        <w:tc>
          <w:tcPr>
            <w:tcW w:w="243" w:type="pct"/>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28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提升</w:t>
            </w:r>
          </w:p>
        </w:tc>
        <w:tc>
          <w:tcPr>
            <w:tcW w:w="236" w:type="pct"/>
            <w:tcBorders>
              <w:top w:val="nil"/>
              <w:left w:val="nil"/>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821"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年度工作计划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trPr>
        <w:tc>
          <w:tcPr>
            <w:tcW w:w="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41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生态效益</w:t>
            </w:r>
          </w:p>
        </w:tc>
        <w:tc>
          <w:tcPr>
            <w:tcW w:w="69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环境污染项</w:t>
            </w:r>
          </w:p>
        </w:tc>
        <w:tc>
          <w:tcPr>
            <w:tcW w:w="93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出现环境污染项，不得分。</w:t>
            </w:r>
          </w:p>
        </w:tc>
        <w:tc>
          <w:tcPr>
            <w:tcW w:w="958"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应急演练对环境不造成污染</w:t>
            </w:r>
          </w:p>
        </w:tc>
        <w:tc>
          <w:tcPr>
            <w:tcW w:w="24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28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0</w:t>
            </w:r>
          </w:p>
        </w:tc>
        <w:tc>
          <w:tcPr>
            <w:tcW w:w="236"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项</w:t>
            </w:r>
          </w:p>
        </w:tc>
        <w:tc>
          <w:tcPr>
            <w:tcW w:w="821"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《中华人民共和国环境保护法》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413"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_GB2312" w:eastAsia="仿宋_GB2312" w:cs="仿宋_GB2312"/>
                <w:i w:val="0"/>
                <w:iCs w:val="0"/>
                <w:color w:val="000000"/>
                <w:sz w:val="21"/>
                <w:szCs w:val="21"/>
                <w:u w:val="none"/>
              </w:rPr>
            </w:pPr>
          </w:p>
        </w:tc>
        <w:tc>
          <w:tcPr>
            <w:tcW w:w="41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满意度</w:t>
            </w:r>
          </w:p>
        </w:tc>
        <w:tc>
          <w:tcPr>
            <w:tcW w:w="693"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服务对象满意度</w:t>
            </w:r>
          </w:p>
        </w:tc>
        <w:tc>
          <w:tcPr>
            <w:tcW w:w="93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务对象满意度每下降1个百分点，扣除权重分的5%。</w:t>
            </w:r>
          </w:p>
        </w:tc>
        <w:tc>
          <w:tcPr>
            <w:tcW w:w="958"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服务对象满意度。</w:t>
            </w:r>
          </w:p>
        </w:tc>
        <w:tc>
          <w:tcPr>
            <w:tcW w:w="24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28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95</w:t>
            </w:r>
          </w:p>
        </w:tc>
        <w:tc>
          <w:tcPr>
            <w:tcW w:w="236"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821"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调查问卷</w:t>
            </w:r>
          </w:p>
        </w:tc>
      </w:tr>
    </w:tbl>
    <w:p>
      <w:pPr>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br w:type="page"/>
      </w:r>
    </w:p>
    <w:p>
      <w:pPr>
        <w:spacing w:line="584"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第二部分 资金绩效目标</w:t>
      </w:r>
    </w:p>
    <w:p>
      <w:pPr>
        <w:ind w:firstLine="640" w:firstLineChars="200"/>
        <w:jc w:val="left"/>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1.应急管理专项工作保障经费绩效目标表</w:t>
      </w:r>
      <w:bookmarkStart w:id="0" w:name="_Toc29799657"/>
      <w:bookmarkEnd w:id="0"/>
    </w:p>
    <w:p>
      <w:pPr>
        <w:spacing w:line="14" w:lineRule="exact"/>
        <w:ind w:firstLine="420" w:firstLineChars="200"/>
        <w:jc w:val="center"/>
        <w:rPr>
          <w:rFonts w:ascii="Times New Roman" w:hAnsi="Times New Roman" w:eastAsia="仿宋_GB2312" w:cs="Times New Roman"/>
        </w:rPr>
      </w:pPr>
    </w:p>
    <w:tbl>
      <w:tblPr>
        <w:tblStyle w:val="9"/>
        <w:tblW w:w="1406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09"/>
        <w:gridCol w:w="2268"/>
        <w:gridCol w:w="1985"/>
        <w:gridCol w:w="3402"/>
        <w:gridCol w:w="1843"/>
        <w:gridCol w:w="215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2409"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绩效目标</w:t>
            </w:r>
          </w:p>
        </w:tc>
        <w:tc>
          <w:tcPr>
            <w:tcW w:w="11653" w:type="dxa"/>
            <w:gridSpan w:val="5"/>
            <w:shd w:val="clear" w:color="auto" w:fill="auto"/>
            <w:vAlign w:val="center"/>
          </w:tcPr>
          <w:p>
            <w:pPr>
              <w:spacing w:line="300" w:lineRule="exact"/>
              <w:rPr>
                <w:rFonts w:ascii="Times New Roman" w:hAnsi="Times New Roman" w:eastAsia="仿宋_GB2312" w:cs="Times New Roman"/>
                <w:b/>
              </w:rPr>
            </w:pPr>
            <w:r>
              <w:rPr>
                <w:rFonts w:hint="eastAsia" w:ascii="仿宋_GB2312" w:hAnsi="仿宋_GB2312" w:eastAsia="仿宋_GB2312" w:cs="仿宋_GB2312"/>
              </w:rPr>
              <w:t>1.通过项目的开展全面保障安全生产和应急管理各专项业务正常开展，遏制重特大生产安全事故发生，维护全市安全生产形势稳定，提升防灾减灾及应急救援能力。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2409"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一级指标</w:t>
            </w:r>
          </w:p>
        </w:tc>
        <w:tc>
          <w:tcPr>
            <w:tcW w:w="2268"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二级指标</w:t>
            </w:r>
          </w:p>
        </w:tc>
        <w:tc>
          <w:tcPr>
            <w:tcW w:w="1985"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三级指标</w:t>
            </w:r>
          </w:p>
        </w:tc>
        <w:tc>
          <w:tcPr>
            <w:tcW w:w="3402"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绩效指标描述</w:t>
            </w:r>
          </w:p>
        </w:tc>
        <w:tc>
          <w:tcPr>
            <w:tcW w:w="1843"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指标值</w:t>
            </w:r>
          </w:p>
        </w:tc>
        <w:tc>
          <w:tcPr>
            <w:tcW w:w="2155"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restart"/>
            <w:shd w:val="clear" w:color="auto" w:fill="auto"/>
            <w:vAlign w:val="center"/>
          </w:tcPr>
          <w:p>
            <w:pPr>
              <w:spacing w:line="300" w:lineRule="exact"/>
              <w:jc w:val="center"/>
              <w:rPr>
                <w:rFonts w:ascii="Times New Roman" w:hAnsi="Times New Roman" w:eastAsia="仿宋_GB2312" w:cs="Times New Roman"/>
              </w:rPr>
            </w:pPr>
            <w:r>
              <w:rPr>
                <w:rFonts w:ascii="Times New Roman" w:hAnsi="Times New Roman" w:eastAsia="仿宋_GB2312" w:cs="Times New Roman"/>
              </w:rPr>
              <w:t>产出指标</w:t>
            </w:r>
          </w:p>
        </w:tc>
        <w:tc>
          <w:tcPr>
            <w:tcW w:w="2268" w:type="dxa"/>
            <w:shd w:val="clear" w:color="auto" w:fill="auto"/>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数量指标</w:t>
            </w:r>
          </w:p>
        </w:tc>
        <w:tc>
          <w:tcPr>
            <w:tcW w:w="1985" w:type="dxa"/>
            <w:shd w:val="clear" w:color="auto" w:fill="auto"/>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许可证等专项业务印刷品数量保障率</w:t>
            </w:r>
          </w:p>
        </w:tc>
        <w:tc>
          <w:tcPr>
            <w:tcW w:w="3402" w:type="dxa"/>
            <w:shd w:val="clear" w:color="auto" w:fill="auto"/>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根据业务开展需要提供印刷保障</w:t>
            </w:r>
          </w:p>
        </w:tc>
        <w:tc>
          <w:tcPr>
            <w:tcW w:w="1843" w:type="dxa"/>
            <w:shd w:val="clear" w:color="auto" w:fill="auto"/>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＝100%</w:t>
            </w:r>
          </w:p>
        </w:tc>
        <w:tc>
          <w:tcPr>
            <w:tcW w:w="2155" w:type="dxa"/>
            <w:shd w:val="clear" w:color="auto" w:fill="auto"/>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tc>
        <w:tc>
          <w:tcPr>
            <w:tcW w:w="2268" w:type="dxa"/>
            <w:shd w:val="clear" w:color="auto" w:fill="auto"/>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数量指标</w:t>
            </w:r>
          </w:p>
        </w:tc>
        <w:tc>
          <w:tcPr>
            <w:tcW w:w="1985" w:type="dxa"/>
            <w:shd w:val="clear" w:color="auto" w:fill="auto"/>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专用设备运行水电保障率</w:t>
            </w:r>
          </w:p>
        </w:tc>
        <w:tc>
          <w:tcPr>
            <w:tcW w:w="3402" w:type="dxa"/>
            <w:shd w:val="clear" w:color="auto" w:fill="auto"/>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通过及时缴纳水电费，保障设备水电供应</w:t>
            </w:r>
          </w:p>
        </w:tc>
        <w:tc>
          <w:tcPr>
            <w:tcW w:w="1843" w:type="dxa"/>
            <w:shd w:val="clear" w:color="auto" w:fill="auto"/>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＝100%</w:t>
            </w:r>
          </w:p>
        </w:tc>
        <w:tc>
          <w:tcPr>
            <w:tcW w:w="2155" w:type="dxa"/>
            <w:shd w:val="clear" w:color="auto" w:fill="auto"/>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tc>
        <w:tc>
          <w:tcPr>
            <w:tcW w:w="2268" w:type="dxa"/>
            <w:shd w:val="clear" w:color="auto" w:fill="auto"/>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数量指标</w:t>
            </w:r>
          </w:p>
        </w:tc>
        <w:tc>
          <w:tcPr>
            <w:tcW w:w="1985" w:type="dxa"/>
            <w:shd w:val="clear" w:color="auto" w:fill="auto"/>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办公耗材保障率</w:t>
            </w:r>
          </w:p>
        </w:tc>
        <w:tc>
          <w:tcPr>
            <w:tcW w:w="3402" w:type="dxa"/>
            <w:shd w:val="clear" w:color="auto" w:fill="auto"/>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保证专项业务办公耗材供应</w:t>
            </w:r>
          </w:p>
        </w:tc>
        <w:tc>
          <w:tcPr>
            <w:tcW w:w="1843" w:type="dxa"/>
            <w:shd w:val="clear" w:color="auto" w:fill="auto"/>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＝100%</w:t>
            </w:r>
          </w:p>
        </w:tc>
        <w:tc>
          <w:tcPr>
            <w:tcW w:w="2155" w:type="dxa"/>
            <w:shd w:val="clear" w:color="auto" w:fill="auto"/>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tc>
        <w:tc>
          <w:tcPr>
            <w:tcW w:w="2268" w:type="dxa"/>
            <w:shd w:val="clear" w:color="auto" w:fill="auto"/>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数量指标</w:t>
            </w:r>
          </w:p>
        </w:tc>
        <w:tc>
          <w:tcPr>
            <w:tcW w:w="1985" w:type="dxa"/>
            <w:shd w:val="clear" w:color="auto" w:fill="auto"/>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专项业</w:t>
            </w:r>
            <w:r>
              <w:rPr>
                <w:rFonts w:hint="eastAsia" w:ascii="仿宋_GB2312" w:hAnsi="仿宋_GB2312" w:eastAsia="仿宋_GB2312" w:cs="仿宋_GB2312"/>
                <w:lang w:val="en-US" w:eastAsia="zh-CN"/>
              </w:rPr>
              <w:t>务</w:t>
            </w:r>
            <w:r>
              <w:rPr>
                <w:rFonts w:hint="eastAsia" w:ascii="仿宋_GB2312" w:hAnsi="仿宋_GB2312" w:eastAsia="仿宋_GB2312" w:cs="仿宋_GB2312"/>
              </w:rPr>
              <w:t>通讯保障率</w:t>
            </w:r>
          </w:p>
        </w:tc>
        <w:tc>
          <w:tcPr>
            <w:tcW w:w="3402" w:type="dxa"/>
            <w:shd w:val="clear" w:color="auto" w:fill="auto"/>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保障专用通讯光纤正常运行</w:t>
            </w:r>
          </w:p>
        </w:tc>
        <w:tc>
          <w:tcPr>
            <w:tcW w:w="1843" w:type="dxa"/>
            <w:shd w:val="clear" w:color="auto" w:fill="auto"/>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＝100%</w:t>
            </w:r>
          </w:p>
        </w:tc>
        <w:tc>
          <w:tcPr>
            <w:tcW w:w="2155" w:type="dxa"/>
            <w:shd w:val="clear" w:color="auto" w:fill="auto"/>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tc>
        <w:tc>
          <w:tcPr>
            <w:tcW w:w="2268"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数量指标</w:t>
            </w:r>
          </w:p>
        </w:tc>
        <w:tc>
          <w:tcPr>
            <w:tcW w:w="1985"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专用设备及时维修维护率</w:t>
            </w:r>
          </w:p>
        </w:tc>
        <w:tc>
          <w:tcPr>
            <w:tcW w:w="3402"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保障专用设备及时维修维护，运行正常</w:t>
            </w:r>
          </w:p>
        </w:tc>
        <w:tc>
          <w:tcPr>
            <w:tcW w:w="1843"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＝100%</w:t>
            </w:r>
          </w:p>
        </w:tc>
        <w:tc>
          <w:tcPr>
            <w:tcW w:w="2155"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tc>
        <w:tc>
          <w:tcPr>
            <w:tcW w:w="2268"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质量指标</w:t>
            </w:r>
          </w:p>
        </w:tc>
        <w:tc>
          <w:tcPr>
            <w:tcW w:w="1985"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维护保障达标率</w:t>
            </w:r>
          </w:p>
        </w:tc>
        <w:tc>
          <w:tcPr>
            <w:tcW w:w="3402"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设备维护及经费保障符合相关标准</w:t>
            </w:r>
          </w:p>
        </w:tc>
        <w:tc>
          <w:tcPr>
            <w:tcW w:w="1843"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≥95%</w:t>
            </w:r>
          </w:p>
        </w:tc>
        <w:tc>
          <w:tcPr>
            <w:tcW w:w="2155"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tc>
        <w:tc>
          <w:tcPr>
            <w:tcW w:w="2268"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时效指标</w:t>
            </w:r>
          </w:p>
        </w:tc>
        <w:tc>
          <w:tcPr>
            <w:tcW w:w="1985"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运行保障工作按照完成率</w:t>
            </w:r>
          </w:p>
        </w:tc>
        <w:tc>
          <w:tcPr>
            <w:tcW w:w="3402"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运行保障工作按照完成时限完成。</w:t>
            </w:r>
          </w:p>
        </w:tc>
        <w:tc>
          <w:tcPr>
            <w:tcW w:w="1843"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≥95%</w:t>
            </w:r>
          </w:p>
        </w:tc>
        <w:tc>
          <w:tcPr>
            <w:tcW w:w="2155"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2021年工作要点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tc>
        <w:tc>
          <w:tcPr>
            <w:tcW w:w="2268"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成本指标</w:t>
            </w:r>
          </w:p>
        </w:tc>
        <w:tc>
          <w:tcPr>
            <w:tcW w:w="1985"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控制在预算金额内</w:t>
            </w:r>
          </w:p>
        </w:tc>
        <w:tc>
          <w:tcPr>
            <w:tcW w:w="3402"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压缩监管成本，减少经费支出。</w:t>
            </w:r>
          </w:p>
        </w:tc>
        <w:tc>
          <w:tcPr>
            <w:tcW w:w="1843"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≤98万元</w:t>
            </w:r>
          </w:p>
        </w:tc>
        <w:tc>
          <w:tcPr>
            <w:tcW w:w="2155"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《中华人民共和国预算法》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shd w:val="clear" w:color="auto" w:fill="auto"/>
            <w:vAlign w:val="center"/>
          </w:tcPr>
          <w:p>
            <w:pPr>
              <w:spacing w:line="300" w:lineRule="exact"/>
              <w:jc w:val="center"/>
              <w:rPr>
                <w:rFonts w:ascii="Times New Roman" w:hAnsi="Times New Roman" w:eastAsia="仿宋_GB2312" w:cs="Times New Roman"/>
              </w:rPr>
            </w:pPr>
            <w:r>
              <w:rPr>
                <w:rFonts w:ascii="Times New Roman" w:hAnsi="Times New Roman" w:eastAsia="仿宋_GB2312" w:cs="Times New Roman"/>
              </w:rPr>
              <w:t>效果指标</w:t>
            </w:r>
          </w:p>
        </w:tc>
        <w:tc>
          <w:tcPr>
            <w:tcW w:w="2268"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社会效益指标</w:t>
            </w:r>
          </w:p>
        </w:tc>
        <w:tc>
          <w:tcPr>
            <w:tcW w:w="1985"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全市安全生产形势稳定，应急保障能力提升。</w:t>
            </w:r>
          </w:p>
        </w:tc>
        <w:tc>
          <w:tcPr>
            <w:tcW w:w="3402"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全市安全生产形势稳定，应急保障能力提升。</w:t>
            </w:r>
          </w:p>
        </w:tc>
        <w:tc>
          <w:tcPr>
            <w:tcW w:w="1843"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提升</w:t>
            </w:r>
          </w:p>
        </w:tc>
        <w:tc>
          <w:tcPr>
            <w:tcW w:w="2155"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年度工作计划及年度工作目标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shd w:val="clear" w:color="auto" w:fill="auto"/>
            <w:vAlign w:val="center"/>
          </w:tcPr>
          <w:p>
            <w:pPr>
              <w:spacing w:line="300" w:lineRule="exact"/>
              <w:jc w:val="center"/>
              <w:rPr>
                <w:rFonts w:ascii="Times New Roman" w:hAnsi="Times New Roman" w:eastAsia="仿宋_GB2312" w:cs="Times New Roman"/>
              </w:rPr>
            </w:pPr>
            <w:r>
              <w:rPr>
                <w:rFonts w:ascii="Times New Roman" w:hAnsi="Times New Roman" w:eastAsia="仿宋_GB2312" w:cs="Times New Roman"/>
              </w:rPr>
              <w:t>满意度指标</w:t>
            </w:r>
          </w:p>
        </w:tc>
        <w:tc>
          <w:tcPr>
            <w:tcW w:w="2268"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服务对象满意度指标</w:t>
            </w:r>
          </w:p>
        </w:tc>
        <w:tc>
          <w:tcPr>
            <w:tcW w:w="1985"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服务对象满意度</w:t>
            </w:r>
          </w:p>
        </w:tc>
        <w:tc>
          <w:tcPr>
            <w:tcW w:w="3402"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服务对象满意度</w:t>
            </w:r>
          </w:p>
        </w:tc>
        <w:tc>
          <w:tcPr>
            <w:tcW w:w="1843"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≥95%</w:t>
            </w:r>
          </w:p>
        </w:tc>
        <w:tc>
          <w:tcPr>
            <w:tcW w:w="2155"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调查问卷</w:t>
            </w:r>
          </w:p>
        </w:tc>
      </w:tr>
    </w:tbl>
    <w:p>
      <w:pPr>
        <w:ind w:firstLine="640" w:firstLineChars="200"/>
        <w:jc w:val="left"/>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2.应急管理专项业务经费绩效目标表</w:t>
      </w:r>
    </w:p>
    <w:p>
      <w:pPr>
        <w:spacing w:line="14" w:lineRule="exact"/>
        <w:ind w:firstLine="420" w:firstLineChars="200"/>
        <w:jc w:val="center"/>
        <w:rPr>
          <w:rFonts w:ascii="Times New Roman" w:hAnsi="Times New Roman" w:eastAsia="仿宋_GB2312" w:cs="Times New Roman"/>
        </w:rPr>
      </w:pPr>
    </w:p>
    <w:tbl>
      <w:tblPr>
        <w:tblStyle w:val="9"/>
        <w:tblW w:w="1406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23"/>
        <w:gridCol w:w="2205"/>
        <w:gridCol w:w="3034"/>
        <w:gridCol w:w="3551"/>
        <w:gridCol w:w="1694"/>
        <w:gridCol w:w="215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423"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绩效目标</w:t>
            </w:r>
          </w:p>
        </w:tc>
        <w:tc>
          <w:tcPr>
            <w:tcW w:w="12639" w:type="dxa"/>
            <w:gridSpan w:val="5"/>
            <w:shd w:val="clear" w:color="auto" w:fill="auto"/>
            <w:vAlign w:val="center"/>
          </w:tcPr>
          <w:p>
            <w:pPr>
              <w:spacing w:line="300" w:lineRule="exact"/>
              <w:rPr>
                <w:rFonts w:ascii="Times New Roman" w:hAnsi="Times New Roman" w:eastAsia="仿宋_GB2312" w:cs="Times New Roman"/>
                <w:b/>
              </w:rPr>
            </w:pPr>
            <w:r>
              <w:rPr>
                <w:rFonts w:hint="eastAsia" w:ascii="仿宋_GB2312" w:hAnsi="仿宋_GB2312" w:eastAsia="仿宋_GB2312" w:cs="仿宋_GB2312"/>
              </w:rPr>
              <w:t>1.通过项目的开展，有效遏制重特大生产安全事故发生，维护全市安全生产形势稳定，提升防灾减灾及应急救援能力。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423"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一级指标</w:t>
            </w:r>
          </w:p>
        </w:tc>
        <w:tc>
          <w:tcPr>
            <w:tcW w:w="2205"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二级指标</w:t>
            </w:r>
          </w:p>
        </w:tc>
        <w:tc>
          <w:tcPr>
            <w:tcW w:w="3034"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三级指标</w:t>
            </w:r>
          </w:p>
        </w:tc>
        <w:tc>
          <w:tcPr>
            <w:tcW w:w="3551"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绩效指标描述</w:t>
            </w:r>
          </w:p>
        </w:tc>
        <w:tc>
          <w:tcPr>
            <w:tcW w:w="1694"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指标值</w:t>
            </w:r>
          </w:p>
        </w:tc>
        <w:tc>
          <w:tcPr>
            <w:tcW w:w="2155"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423" w:type="dxa"/>
            <w:vMerge w:val="restart"/>
            <w:shd w:val="clear" w:color="auto" w:fill="auto"/>
            <w:vAlign w:val="center"/>
          </w:tcPr>
          <w:p>
            <w:pPr>
              <w:spacing w:line="300" w:lineRule="exact"/>
              <w:jc w:val="center"/>
              <w:rPr>
                <w:rFonts w:ascii="Times New Roman" w:hAnsi="Times New Roman" w:eastAsia="仿宋_GB2312" w:cs="Times New Roman"/>
              </w:rPr>
            </w:pPr>
            <w:r>
              <w:rPr>
                <w:rFonts w:ascii="Times New Roman" w:hAnsi="Times New Roman" w:eastAsia="仿宋_GB2312" w:cs="Times New Roman"/>
              </w:rPr>
              <w:t>产出指标</w:t>
            </w:r>
          </w:p>
        </w:tc>
        <w:tc>
          <w:tcPr>
            <w:tcW w:w="2205"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数量指标</w:t>
            </w:r>
          </w:p>
        </w:tc>
        <w:tc>
          <w:tcPr>
            <w:tcW w:w="3034"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电视台宣传专栏10期</w:t>
            </w:r>
          </w:p>
        </w:tc>
        <w:tc>
          <w:tcPr>
            <w:tcW w:w="3551"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及时发布内容丰富</w:t>
            </w:r>
          </w:p>
        </w:tc>
        <w:tc>
          <w:tcPr>
            <w:tcW w:w="1694"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≥10期</w:t>
            </w:r>
          </w:p>
        </w:tc>
        <w:tc>
          <w:tcPr>
            <w:tcW w:w="2155"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423" w:type="dxa"/>
            <w:vMerge w:val="continue"/>
            <w:shd w:val="clear" w:color="auto" w:fill="auto"/>
            <w:vAlign w:val="center"/>
          </w:tcPr>
          <w:p/>
        </w:tc>
        <w:tc>
          <w:tcPr>
            <w:tcW w:w="2205"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数量指标</w:t>
            </w:r>
          </w:p>
        </w:tc>
        <w:tc>
          <w:tcPr>
            <w:tcW w:w="3034"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廊坊日报廊坊应急专栏8期</w:t>
            </w:r>
          </w:p>
        </w:tc>
        <w:tc>
          <w:tcPr>
            <w:tcW w:w="3551"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及时发布内容丰富</w:t>
            </w:r>
          </w:p>
        </w:tc>
        <w:tc>
          <w:tcPr>
            <w:tcW w:w="1694"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≥8期</w:t>
            </w:r>
          </w:p>
        </w:tc>
        <w:tc>
          <w:tcPr>
            <w:tcW w:w="2155"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423" w:type="dxa"/>
            <w:vMerge w:val="continue"/>
            <w:shd w:val="clear" w:color="auto" w:fill="auto"/>
            <w:vAlign w:val="center"/>
          </w:tcPr>
          <w:p/>
        </w:tc>
        <w:tc>
          <w:tcPr>
            <w:tcW w:w="2205"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数量指标</w:t>
            </w:r>
          </w:p>
        </w:tc>
        <w:tc>
          <w:tcPr>
            <w:tcW w:w="3034"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电梯电视公益广告400个</w:t>
            </w:r>
          </w:p>
        </w:tc>
        <w:tc>
          <w:tcPr>
            <w:tcW w:w="3551"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提升公众应急管理、安全生产、防灾减灾救灾知识能力</w:t>
            </w:r>
          </w:p>
        </w:tc>
        <w:tc>
          <w:tcPr>
            <w:tcW w:w="1694"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≥400个</w:t>
            </w:r>
          </w:p>
        </w:tc>
        <w:tc>
          <w:tcPr>
            <w:tcW w:w="2155"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423" w:type="dxa"/>
            <w:vMerge w:val="continue"/>
            <w:shd w:val="clear" w:color="auto" w:fill="auto"/>
            <w:vAlign w:val="center"/>
          </w:tcPr>
          <w:p/>
        </w:tc>
        <w:tc>
          <w:tcPr>
            <w:tcW w:w="2205"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数量指标</w:t>
            </w:r>
          </w:p>
        </w:tc>
        <w:tc>
          <w:tcPr>
            <w:tcW w:w="3034"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微信公众号、官方微博信息更新各300次</w:t>
            </w:r>
          </w:p>
        </w:tc>
        <w:tc>
          <w:tcPr>
            <w:tcW w:w="3551"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提升公众应急管理、安全生产、防灾减灾救灾知识能力</w:t>
            </w:r>
          </w:p>
        </w:tc>
        <w:tc>
          <w:tcPr>
            <w:tcW w:w="1694"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≥300次</w:t>
            </w:r>
          </w:p>
        </w:tc>
        <w:tc>
          <w:tcPr>
            <w:tcW w:w="2155"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423" w:type="dxa"/>
            <w:vMerge w:val="continue"/>
            <w:shd w:val="clear" w:color="auto" w:fill="auto"/>
            <w:vAlign w:val="center"/>
          </w:tcPr>
          <w:p/>
        </w:tc>
        <w:tc>
          <w:tcPr>
            <w:tcW w:w="2205"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数量指标</w:t>
            </w:r>
          </w:p>
        </w:tc>
        <w:tc>
          <w:tcPr>
            <w:tcW w:w="3034"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灾情核查率</w:t>
            </w:r>
          </w:p>
        </w:tc>
        <w:tc>
          <w:tcPr>
            <w:tcW w:w="3551"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灾情核查率</w:t>
            </w:r>
          </w:p>
        </w:tc>
        <w:tc>
          <w:tcPr>
            <w:tcW w:w="1694"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100%</w:t>
            </w:r>
          </w:p>
        </w:tc>
        <w:tc>
          <w:tcPr>
            <w:tcW w:w="2155"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423" w:type="dxa"/>
            <w:vMerge w:val="continue"/>
            <w:shd w:val="clear" w:color="auto" w:fill="auto"/>
            <w:vAlign w:val="center"/>
          </w:tcPr>
          <w:p/>
        </w:tc>
        <w:tc>
          <w:tcPr>
            <w:tcW w:w="2205"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数量指标</w:t>
            </w:r>
          </w:p>
        </w:tc>
        <w:tc>
          <w:tcPr>
            <w:tcW w:w="3034"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科普活动参与人次</w:t>
            </w:r>
          </w:p>
        </w:tc>
        <w:tc>
          <w:tcPr>
            <w:tcW w:w="3551"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开展科普宣传活动总参与人次</w:t>
            </w:r>
          </w:p>
        </w:tc>
        <w:tc>
          <w:tcPr>
            <w:tcW w:w="1694"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≥5千人次</w:t>
            </w:r>
          </w:p>
        </w:tc>
        <w:tc>
          <w:tcPr>
            <w:tcW w:w="2155"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423" w:type="dxa"/>
            <w:vMerge w:val="continue"/>
            <w:shd w:val="clear" w:color="auto" w:fill="auto"/>
            <w:vAlign w:val="center"/>
          </w:tcPr>
          <w:p/>
        </w:tc>
        <w:tc>
          <w:tcPr>
            <w:tcW w:w="2205"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数量指标</w:t>
            </w:r>
          </w:p>
        </w:tc>
        <w:tc>
          <w:tcPr>
            <w:tcW w:w="3034"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执法计划完成率</w:t>
            </w:r>
          </w:p>
        </w:tc>
        <w:tc>
          <w:tcPr>
            <w:tcW w:w="3551"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全年执法计划任务完成率</w:t>
            </w:r>
          </w:p>
        </w:tc>
        <w:tc>
          <w:tcPr>
            <w:tcW w:w="1694"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＝100%</w:t>
            </w:r>
          </w:p>
        </w:tc>
        <w:tc>
          <w:tcPr>
            <w:tcW w:w="2155"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年度执法计划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423" w:type="dxa"/>
            <w:vMerge w:val="continue"/>
            <w:shd w:val="clear" w:color="auto" w:fill="auto"/>
            <w:vAlign w:val="center"/>
          </w:tcPr>
          <w:p/>
        </w:tc>
        <w:tc>
          <w:tcPr>
            <w:tcW w:w="2205"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数量指标</w:t>
            </w:r>
          </w:p>
        </w:tc>
        <w:tc>
          <w:tcPr>
            <w:tcW w:w="3034"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规定时间内完成周会商预测意见52期</w:t>
            </w:r>
          </w:p>
        </w:tc>
        <w:tc>
          <w:tcPr>
            <w:tcW w:w="3551"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在规定时间内周会商预测意见的完成数量占应完成数量的比例</w:t>
            </w:r>
          </w:p>
        </w:tc>
        <w:tc>
          <w:tcPr>
            <w:tcW w:w="1694"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＝52期</w:t>
            </w:r>
          </w:p>
        </w:tc>
        <w:tc>
          <w:tcPr>
            <w:tcW w:w="2155"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423" w:type="dxa"/>
            <w:vMerge w:val="continue"/>
            <w:shd w:val="clear" w:color="auto" w:fill="auto"/>
            <w:vAlign w:val="center"/>
          </w:tcPr>
          <w:p/>
        </w:tc>
        <w:tc>
          <w:tcPr>
            <w:tcW w:w="2205"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数量指标</w:t>
            </w:r>
          </w:p>
        </w:tc>
        <w:tc>
          <w:tcPr>
            <w:tcW w:w="3034"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安全生产督导检查次数</w:t>
            </w:r>
          </w:p>
        </w:tc>
        <w:tc>
          <w:tcPr>
            <w:tcW w:w="3551"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全年开展专项督导检查次数</w:t>
            </w:r>
          </w:p>
        </w:tc>
        <w:tc>
          <w:tcPr>
            <w:tcW w:w="1694"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≥4次</w:t>
            </w:r>
          </w:p>
        </w:tc>
        <w:tc>
          <w:tcPr>
            <w:tcW w:w="2155"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《中华人民共和国安全生产法》《河北省安全生产条例》《廊坊市工贸企业安全生产分级分类监督管理办法》《廊坊市安全生产专项整治三年行动方案（2020-2022年）》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423" w:type="dxa"/>
            <w:vMerge w:val="continue"/>
            <w:shd w:val="clear" w:color="auto" w:fill="auto"/>
            <w:vAlign w:val="center"/>
          </w:tcPr>
          <w:p/>
        </w:tc>
        <w:tc>
          <w:tcPr>
            <w:tcW w:w="2205"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质量指标</w:t>
            </w:r>
          </w:p>
        </w:tc>
        <w:tc>
          <w:tcPr>
            <w:tcW w:w="3034"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行政许可和行政执法被行政复议、诉讼率</w:t>
            </w:r>
          </w:p>
        </w:tc>
        <w:tc>
          <w:tcPr>
            <w:tcW w:w="3551"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在行政执法中因被管理对象不服，提出复议或诉讼的比例</w:t>
            </w:r>
          </w:p>
        </w:tc>
        <w:tc>
          <w:tcPr>
            <w:tcW w:w="1694"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≤1%</w:t>
            </w:r>
          </w:p>
        </w:tc>
        <w:tc>
          <w:tcPr>
            <w:tcW w:w="2155"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行政许可法、行政复议法等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423" w:type="dxa"/>
            <w:vMerge w:val="continue"/>
            <w:shd w:val="clear" w:color="auto" w:fill="auto"/>
            <w:vAlign w:val="center"/>
          </w:tcPr>
          <w:p/>
        </w:tc>
        <w:tc>
          <w:tcPr>
            <w:tcW w:w="2205"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质量指标</w:t>
            </w:r>
          </w:p>
        </w:tc>
        <w:tc>
          <w:tcPr>
            <w:tcW w:w="3034"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全市强震、前兆、宏观观测三大台网总体运行率</w:t>
            </w:r>
          </w:p>
        </w:tc>
        <w:tc>
          <w:tcPr>
            <w:tcW w:w="3551"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辖区内强震、前兆、宏观观测三大台网正常运行时间占总运行时间的比例</w:t>
            </w:r>
          </w:p>
        </w:tc>
        <w:tc>
          <w:tcPr>
            <w:tcW w:w="1694"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≥90%</w:t>
            </w:r>
          </w:p>
        </w:tc>
        <w:tc>
          <w:tcPr>
            <w:tcW w:w="2155"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423" w:type="dxa"/>
            <w:vMerge w:val="continue"/>
            <w:shd w:val="clear" w:color="auto" w:fill="auto"/>
            <w:vAlign w:val="center"/>
          </w:tcPr>
          <w:p/>
        </w:tc>
        <w:tc>
          <w:tcPr>
            <w:tcW w:w="2205"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质量指标</w:t>
            </w:r>
          </w:p>
        </w:tc>
        <w:tc>
          <w:tcPr>
            <w:tcW w:w="3034"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检查项目覆盖率</w:t>
            </w:r>
          </w:p>
        </w:tc>
        <w:tc>
          <w:tcPr>
            <w:tcW w:w="3551"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建设工程地震安全监管检查和地震安全性评价项目抽查覆盖率</w:t>
            </w:r>
          </w:p>
        </w:tc>
        <w:tc>
          <w:tcPr>
            <w:tcW w:w="1694"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≥20%</w:t>
            </w:r>
          </w:p>
        </w:tc>
        <w:tc>
          <w:tcPr>
            <w:tcW w:w="2155"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423" w:type="dxa"/>
            <w:vMerge w:val="continue"/>
            <w:shd w:val="clear" w:color="auto" w:fill="auto"/>
            <w:vAlign w:val="center"/>
          </w:tcPr>
          <w:p/>
        </w:tc>
        <w:tc>
          <w:tcPr>
            <w:tcW w:w="2205"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质量指标</w:t>
            </w:r>
          </w:p>
        </w:tc>
        <w:tc>
          <w:tcPr>
            <w:tcW w:w="3034"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救援队员业务素质达标率</w:t>
            </w:r>
          </w:p>
        </w:tc>
        <w:tc>
          <w:tcPr>
            <w:tcW w:w="3551"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救援队员业务素质达标率</w:t>
            </w:r>
          </w:p>
        </w:tc>
        <w:tc>
          <w:tcPr>
            <w:tcW w:w="1694"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100%</w:t>
            </w:r>
          </w:p>
        </w:tc>
        <w:tc>
          <w:tcPr>
            <w:tcW w:w="2155"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《生产安全事故应急条例》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423" w:type="dxa"/>
            <w:vMerge w:val="continue"/>
            <w:shd w:val="clear" w:color="auto" w:fill="auto"/>
            <w:vAlign w:val="center"/>
          </w:tcPr>
          <w:p/>
        </w:tc>
        <w:tc>
          <w:tcPr>
            <w:tcW w:w="2205" w:type="dxa"/>
            <w:shd w:val="clear" w:color="auto" w:fill="auto"/>
            <w:vAlign w:val="center"/>
          </w:tcPr>
          <w:p>
            <w:pPr>
              <w:pStyle w:val="15"/>
              <w:rPr>
                <w:rFonts w:hint="eastAsia" w:ascii="仿宋_GB2312" w:hAnsi="仿宋_GB2312" w:eastAsia="仿宋_GB2312" w:cs="仿宋_GB2312"/>
                <w:lang w:val="en-US" w:eastAsia="uk-UA"/>
              </w:rPr>
            </w:pPr>
            <w:r>
              <w:rPr>
                <w:rFonts w:hint="eastAsia" w:ascii="仿宋_GB2312" w:hAnsi="仿宋_GB2312" w:eastAsia="仿宋_GB2312" w:cs="仿宋_GB2312"/>
              </w:rPr>
              <w:t>时效指标</w:t>
            </w:r>
          </w:p>
        </w:tc>
        <w:tc>
          <w:tcPr>
            <w:tcW w:w="3034" w:type="dxa"/>
            <w:shd w:val="clear" w:color="auto" w:fill="auto"/>
            <w:vAlign w:val="center"/>
          </w:tcPr>
          <w:p>
            <w:pPr>
              <w:pStyle w:val="15"/>
              <w:rPr>
                <w:rFonts w:hint="eastAsia" w:ascii="仿宋_GB2312" w:hAnsi="仿宋_GB2312" w:eastAsia="仿宋_GB2312" w:cs="仿宋_GB2312"/>
                <w:lang w:val="en-US" w:eastAsia="uk-UA"/>
              </w:rPr>
            </w:pPr>
            <w:r>
              <w:rPr>
                <w:rFonts w:hint="eastAsia" w:ascii="仿宋_GB2312" w:hAnsi="仿宋_GB2312" w:eastAsia="仿宋_GB2312" w:cs="仿宋_GB2312"/>
              </w:rPr>
              <w:t>按计划完成率</w:t>
            </w:r>
          </w:p>
        </w:tc>
        <w:tc>
          <w:tcPr>
            <w:tcW w:w="3551" w:type="dxa"/>
            <w:shd w:val="clear" w:color="auto" w:fill="auto"/>
            <w:vAlign w:val="center"/>
          </w:tcPr>
          <w:p>
            <w:pPr>
              <w:pStyle w:val="15"/>
              <w:rPr>
                <w:rFonts w:hint="eastAsia" w:ascii="仿宋_GB2312" w:hAnsi="仿宋_GB2312" w:eastAsia="仿宋_GB2312" w:cs="仿宋_GB2312"/>
                <w:lang w:val="en-US" w:eastAsia="uk-UA"/>
              </w:rPr>
            </w:pPr>
            <w:r>
              <w:rPr>
                <w:rFonts w:hint="eastAsia" w:ascii="仿宋_GB2312" w:hAnsi="仿宋_GB2312" w:eastAsia="仿宋_GB2312" w:cs="仿宋_GB2312"/>
              </w:rPr>
              <w:t>各项工作按照全年工作计划或市委、市政府、省应急厅要求的时限完成率。</w:t>
            </w:r>
          </w:p>
        </w:tc>
        <w:tc>
          <w:tcPr>
            <w:tcW w:w="1694" w:type="dxa"/>
            <w:shd w:val="clear" w:color="auto" w:fill="auto"/>
            <w:vAlign w:val="center"/>
          </w:tcPr>
          <w:p>
            <w:pPr>
              <w:pStyle w:val="15"/>
              <w:rPr>
                <w:rFonts w:hint="eastAsia" w:ascii="仿宋_GB2312" w:hAnsi="仿宋_GB2312" w:eastAsia="仿宋_GB2312" w:cs="仿宋_GB2312"/>
                <w:lang w:val="en-US" w:eastAsia="uk-UA"/>
              </w:rPr>
            </w:pPr>
            <w:r>
              <w:rPr>
                <w:rFonts w:hint="eastAsia" w:ascii="仿宋_GB2312" w:hAnsi="仿宋_GB2312" w:eastAsia="仿宋_GB2312" w:cs="仿宋_GB2312"/>
              </w:rPr>
              <w:t>≥95%</w:t>
            </w:r>
          </w:p>
        </w:tc>
        <w:tc>
          <w:tcPr>
            <w:tcW w:w="2155" w:type="dxa"/>
            <w:shd w:val="clear" w:color="auto" w:fill="auto"/>
            <w:vAlign w:val="center"/>
          </w:tcPr>
          <w:p>
            <w:pPr>
              <w:pStyle w:val="15"/>
              <w:rPr>
                <w:rFonts w:hint="eastAsia" w:ascii="仿宋_GB2312" w:hAnsi="仿宋_GB2312" w:eastAsia="仿宋_GB2312" w:cs="仿宋_GB2312"/>
                <w:lang w:val="en-US" w:eastAsia="uk-UA"/>
              </w:rPr>
            </w:pPr>
            <w:r>
              <w:rPr>
                <w:rFonts w:hint="eastAsia" w:ascii="仿宋_GB2312" w:hAnsi="仿宋_GB2312" w:eastAsia="仿宋_GB2312" w:cs="仿宋_GB2312"/>
              </w:rPr>
              <w:t>2021年工作要点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423" w:type="dxa"/>
            <w:vMerge w:val="continue"/>
            <w:shd w:val="clear" w:color="auto" w:fill="auto"/>
            <w:vAlign w:val="center"/>
          </w:tcPr>
          <w:p/>
        </w:tc>
        <w:tc>
          <w:tcPr>
            <w:tcW w:w="2205" w:type="dxa"/>
            <w:shd w:val="clear" w:color="auto" w:fill="auto"/>
            <w:vAlign w:val="center"/>
          </w:tcPr>
          <w:p>
            <w:pPr>
              <w:pStyle w:val="15"/>
              <w:rPr>
                <w:rFonts w:hint="eastAsia" w:ascii="仿宋_GB2312" w:hAnsi="仿宋_GB2312" w:eastAsia="仿宋_GB2312" w:cs="仿宋_GB2312"/>
                <w:lang w:val="en-US" w:eastAsia="uk-UA"/>
              </w:rPr>
            </w:pPr>
            <w:r>
              <w:rPr>
                <w:rFonts w:hint="eastAsia" w:ascii="仿宋_GB2312" w:hAnsi="仿宋_GB2312" w:eastAsia="仿宋_GB2312" w:cs="仿宋_GB2312"/>
              </w:rPr>
              <w:t>成本指标</w:t>
            </w:r>
          </w:p>
        </w:tc>
        <w:tc>
          <w:tcPr>
            <w:tcW w:w="3034" w:type="dxa"/>
            <w:shd w:val="clear" w:color="auto" w:fill="auto"/>
            <w:vAlign w:val="center"/>
          </w:tcPr>
          <w:p>
            <w:pPr>
              <w:pStyle w:val="15"/>
              <w:rPr>
                <w:rFonts w:hint="eastAsia" w:ascii="仿宋_GB2312" w:hAnsi="仿宋_GB2312" w:eastAsia="仿宋_GB2312" w:cs="仿宋_GB2312"/>
                <w:lang w:val="en-US" w:eastAsia="uk-UA"/>
              </w:rPr>
            </w:pPr>
            <w:r>
              <w:rPr>
                <w:rFonts w:hint="eastAsia" w:ascii="仿宋_GB2312" w:hAnsi="仿宋_GB2312" w:eastAsia="仿宋_GB2312" w:cs="仿宋_GB2312"/>
              </w:rPr>
              <w:t>控制在预算金额内</w:t>
            </w:r>
          </w:p>
        </w:tc>
        <w:tc>
          <w:tcPr>
            <w:tcW w:w="3551" w:type="dxa"/>
            <w:shd w:val="clear" w:color="auto" w:fill="auto"/>
            <w:vAlign w:val="center"/>
          </w:tcPr>
          <w:p>
            <w:pPr>
              <w:pStyle w:val="15"/>
              <w:rPr>
                <w:rFonts w:hint="eastAsia" w:ascii="仿宋_GB2312" w:hAnsi="仿宋_GB2312" w:eastAsia="仿宋_GB2312" w:cs="仿宋_GB2312"/>
                <w:lang w:val="en-US" w:eastAsia="uk-UA"/>
              </w:rPr>
            </w:pPr>
            <w:r>
              <w:rPr>
                <w:rFonts w:hint="eastAsia" w:ascii="仿宋_GB2312" w:hAnsi="仿宋_GB2312" w:eastAsia="仿宋_GB2312" w:cs="仿宋_GB2312"/>
              </w:rPr>
              <w:t>压缩监管成本，减少经费支出。</w:t>
            </w:r>
          </w:p>
        </w:tc>
        <w:tc>
          <w:tcPr>
            <w:tcW w:w="1694" w:type="dxa"/>
            <w:shd w:val="clear" w:color="auto" w:fill="auto"/>
            <w:vAlign w:val="center"/>
          </w:tcPr>
          <w:p>
            <w:pPr>
              <w:pStyle w:val="15"/>
              <w:rPr>
                <w:rFonts w:hint="eastAsia" w:ascii="仿宋_GB2312" w:hAnsi="仿宋_GB2312" w:eastAsia="仿宋_GB2312" w:cs="仿宋_GB2312"/>
                <w:lang w:val="en-US" w:eastAsia="uk-UA"/>
              </w:rPr>
            </w:pPr>
            <w:r>
              <w:rPr>
                <w:rFonts w:hint="eastAsia" w:ascii="仿宋_GB2312" w:hAnsi="仿宋_GB2312" w:eastAsia="仿宋_GB2312" w:cs="仿宋_GB2312"/>
              </w:rPr>
              <w:t>≤470万元</w:t>
            </w:r>
          </w:p>
        </w:tc>
        <w:tc>
          <w:tcPr>
            <w:tcW w:w="2155" w:type="dxa"/>
            <w:shd w:val="clear" w:color="auto" w:fill="auto"/>
            <w:vAlign w:val="center"/>
          </w:tcPr>
          <w:p>
            <w:pPr>
              <w:pStyle w:val="15"/>
              <w:rPr>
                <w:rFonts w:hint="eastAsia" w:ascii="仿宋_GB2312" w:hAnsi="仿宋_GB2312" w:eastAsia="仿宋_GB2312" w:cs="仿宋_GB2312"/>
                <w:lang w:val="en-US" w:eastAsia="uk-UA"/>
              </w:rPr>
            </w:pPr>
            <w:r>
              <w:rPr>
                <w:rFonts w:hint="eastAsia" w:ascii="仿宋_GB2312" w:hAnsi="仿宋_GB2312" w:eastAsia="仿宋_GB2312" w:cs="仿宋_GB2312"/>
              </w:rPr>
              <w:t>《中华人民共和国预算法》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423" w:type="dxa"/>
            <w:shd w:val="clear" w:color="auto" w:fill="auto"/>
            <w:vAlign w:val="center"/>
          </w:tcPr>
          <w:p>
            <w:pPr>
              <w:spacing w:line="300" w:lineRule="exact"/>
              <w:jc w:val="center"/>
              <w:rPr>
                <w:rFonts w:ascii="Times New Roman" w:hAnsi="Times New Roman" w:eastAsia="仿宋_GB2312" w:cs="Times New Roman"/>
              </w:rPr>
            </w:pPr>
            <w:r>
              <w:rPr>
                <w:rFonts w:ascii="Times New Roman" w:hAnsi="Times New Roman" w:eastAsia="仿宋_GB2312" w:cs="Times New Roman"/>
              </w:rPr>
              <w:t>效果指标</w:t>
            </w:r>
          </w:p>
        </w:tc>
        <w:tc>
          <w:tcPr>
            <w:tcW w:w="2205" w:type="dxa"/>
            <w:shd w:val="clear" w:color="auto" w:fill="auto"/>
            <w:vAlign w:val="center"/>
          </w:tcPr>
          <w:p>
            <w:pPr>
              <w:pStyle w:val="15"/>
              <w:rPr>
                <w:rFonts w:hint="eastAsia" w:ascii="仿宋_GB2312" w:hAnsi="仿宋_GB2312" w:eastAsia="仿宋_GB2312" w:cs="仿宋_GB2312"/>
                <w:lang w:val="en-US" w:eastAsia="uk-UA"/>
              </w:rPr>
            </w:pPr>
            <w:r>
              <w:rPr>
                <w:rFonts w:hint="eastAsia" w:ascii="仿宋_GB2312" w:hAnsi="仿宋_GB2312" w:eastAsia="仿宋_GB2312" w:cs="仿宋_GB2312"/>
              </w:rPr>
              <w:t>社会效益指标</w:t>
            </w:r>
          </w:p>
        </w:tc>
        <w:tc>
          <w:tcPr>
            <w:tcW w:w="3034" w:type="dxa"/>
            <w:shd w:val="clear" w:color="auto" w:fill="auto"/>
            <w:vAlign w:val="center"/>
          </w:tcPr>
          <w:p>
            <w:pPr>
              <w:pStyle w:val="15"/>
              <w:rPr>
                <w:rFonts w:hint="eastAsia" w:ascii="仿宋_GB2312" w:hAnsi="仿宋_GB2312" w:eastAsia="仿宋_GB2312" w:cs="仿宋_GB2312"/>
                <w:lang w:val="en-US" w:eastAsia="uk-UA"/>
              </w:rPr>
            </w:pPr>
            <w:r>
              <w:rPr>
                <w:rFonts w:hint="eastAsia" w:ascii="仿宋_GB2312" w:hAnsi="仿宋_GB2312" w:eastAsia="仿宋_GB2312" w:cs="仿宋_GB2312"/>
              </w:rPr>
              <w:t>全市安全生产形势稳定，提升全市防灾减灾能力和水平。</w:t>
            </w:r>
          </w:p>
        </w:tc>
        <w:tc>
          <w:tcPr>
            <w:tcW w:w="3551" w:type="dxa"/>
            <w:shd w:val="clear" w:color="auto" w:fill="auto"/>
            <w:vAlign w:val="center"/>
          </w:tcPr>
          <w:p>
            <w:pPr>
              <w:pStyle w:val="15"/>
              <w:rPr>
                <w:rFonts w:hint="eastAsia" w:ascii="仿宋_GB2312" w:hAnsi="仿宋_GB2312" w:eastAsia="仿宋_GB2312" w:cs="仿宋_GB2312"/>
                <w:lang w:val="en-US" w:eastAsia="uk-UA"/>
              </w:rPr>
            </w:pPr>
            <w:r>
              <w:rPr>
                <w:rFonts w:hint="eastAsia" w:ascii="仿宋_GB2312" w:hAnsi="仿宋_GB2312" w:eastAsia="仿宋_GB2312" w:cs="仿宋_GB2312"/>
              </w:rPr>
              <w:t>全市安全生产形势稳定，提升全市防灾减灾能力和水平。</w:t>
            </w:r>
          </w:p>
        </w:tc>
        <w:tc>
          <w:tcPr>
            <w:tcW w:w="1694" w:type="dxa"/>
            <w:shd w:val="clear" w:color="auto" w:fill="auto"/>
            <w:vAlign w:val="center"/>
          </w:tcPr>
          <w:p>
            <w:pPr>
              <w:pStyle w:val="15"/>
              <w:rPr>
                <w:rFonts w:hint="eastAsia" w:ascii="仿宋_GB2312" w:hAnsi="仿宋_GB2312" w:eastAsia="仿宋_GB2312" w:cs="仿宋_GB2312"/>
                <w:lang w:val="en-US" w:eastAsia="uk-UA"/>
              </w:rPr>
            </w:pPr>
            <w:r>
              <w:rPr>
                <w:rFonts w:hint="eastAsia" w:ascii="仿宋_GB2312" w:hAnsi="仿宋_GB2312" w:eastAsia="仿宋_GB2312" w:cs="仿宋_GB2312"/>
              </w:rPr>
              <w:t>提升</w:t>
            </w:r>
          </w:p>
        </w:tc>
        <w:tc>
          <w:tcPr>
            <w:tcW w:w="2155" w:type="dxa"/>
            <w:shd w:val="clear" w:color="auto" w:fill="auto"/>
            <w:vAlign w:val="center"/>
          </w:tcPr>
          <w:p>
            <w:pPr>
              <w:pStyle w:val="15"/>
              <w:rPr>
                <w:rFonts w:hint="eastAsia" w:ascii="仿宋_GB2312" w:hAnsi="仿宋_GB2312" w:eastAsia="仿宋_GB2312" w:cs="仿宋_GB2312"/>
                <w:lang w:val="en-US" w:eastAsia="uk-UA"/>
              </w:rPr>
            </w:pPr>
            <w:r>
              <w:rPr>
                <w:rFonts w:hint="eastAsia" w:ascii="仿宋_GB2312" w:hAnsi="仿宋_GB2312" w:eastAsia="仿宋_GB2312" w:cs="仿宋_GB2312"/>
              </w:rPr>
              <w:t>年度工作计划及年度工作目标。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423" w:type="dxa"/>
            <w:shd w:val="clear" w:color="auto" w:fill="auto"/>
            <w:vAlign w:val="center"/>
          </w:tcPr>
          <w:p>
            <w:pPr>
              <w:spacing w:line="300" w:lineRule="exact"/>
              <w:jc w:val="center"/>
              <w:rPr>
                <w:rFonts w:ascii="Times New Roman" w:hAnsi="Times New Roman" w:eastAsia="仿宋_GB2312" w:cs="Times New Roman"/>
              </w:rPr>
            </w:pPr>
            <w:r>
              <w:rPr>
                <w:rFonts w:ascii="Times New Roman" w:hAnsi="Times New Roman" w:eastAsia="仿宋_GB2312" w:cs="Times New Roman"/>
              </w:rPr>
              <w:t>满意度指标</w:t>
            </w:r>
          </w:p>
        </w:tc>
        <w:tc>
          <w:tcPr>
            <w:tcW w:w="2205" w:type="dxa"/>
            <w:shd w:val="clear" w:color="auto" w:fill="auto"/>
            <w:vAlign w:val="center"/>
          </w:tcPr>
          <w:p>
            <w:pPr>
              <w:pStyle w:val="15"/>
              <w:rPr>
                <w:rFonts w:hint="eastAsia" w:ascii="仿宋_GB2312" w:hAnsi="仿宋_GB2312" w:eastAsia="仿宋_GB2312" w:cs="仿宋_GB2312"/>
                <w:lang w:val="en-US" w:eastAsia="uk-UA"/>
              </w:rPr>
            </w:pPr>
            <w:r>
              <w:rPr>
                <w:rFonts w:hint="eastAsia" w:ascii="仿宋_GB2312" w:hAnsi="仿宋_GB2312" w:eastAsia="仿宋_GB2312" w:cs="仿宋_GB2312"/>
              </w:rPr>
              <w:t>服务对象满意度指标</w:t>
            </w:r>
          </w:p>
        </w:tc>
        <w:tc>
          <w:tcPr>
            <w:tcW w:w="3034" w:type="dxa"/>
            <w:shd w:val="clear" w:color="auto" w:fill="auto"/>
            <w:vAlign w:val="center"/>
          </w:tcPr>
          <w:p>
            <w:pPr>
              <w:pStyle w:val="15"/>
              <w:rPr>
                <w:rFonts w:hint="eastAsia" w:ascii="仿宋_GB2312" w:hAnsi="仿宋_GB2312" w:eastAsia="仿宋_GB2312" w:cs="仿宋_GB2312"/>
                <w:lang w:val="en-US" w:eastAsia="uk-UA"/>
              </w:rPr>
            </w:pPr>
            <w:r>
              <w:rPr>
                <w:rFonts w:hint="eastAsia" w:ascii="仿宋_GB2312" w:hAnsi="仿宋_GB2312" w:eastAsia="仿宋_GB2312" w:cs="仿宋_GB2312"/>
              </w:rPr>
              <w:t>服务对象满意度</w:t>
            </w:r>
          </w:p>
        </w:tc>
        <w:tc>
          <w:tcPr>
            <w:tcW w:w="3551" w:type="dxa"/>
            <w:shd w:val="clear" w:color="auto" w:fill="auto"/>
            <w:vAlign w:val="center"/>
          </w:tcPr>
          <w:p>
            <w:pPr>
              <w:pStyle w:val="15"/>
              <w:rPr>
                <w:rFonts w:hint="eastAsia" w:ascii="仿宋_GB2312" w:hAnsi="仿宋_GB2312" w:eastAsia="仿宋_GB2312" w:cs="仿宋_GB2312"/>
                <w:lang w:val="en-US" w:eastAsia="uk-UA"/>
              </w:rPr>
            </w:pPr>
            <w:r>
              <w:rPr>
                <w:rFonts w:hint="eastAsia" w:ascii="仿宋_GB2312" w:hAnsi="仿宋_GB2312" w:eastAsia="仿宋_GB2312" w:cs="仿宋_GB2312"/>
              </w:rPr>
              <w:t>服务对象满意度</w:t>
            </w:r>
          </w:p>
        </w:tc>
        <w:tc>
          <w:tcPr>
            <w:tcW w:w="1694" w:type="dxa"/>
            <w:shd w:val="clear" w:color="auto" w:fill="auto"/>
            <w:vAlign w:val="center"/>
          </w:tcPr>
          <w:p>
            <w:pPr>
              <w:pStyle w:val="15"/>
              <w:rPr>
                <w:rFonts w:hint="eastAsia" w:ascii="仿宋_GB2312" w:hAnsi="仿宋_GB2312" w:eastAsia="仿宋_GB2312" w:cs="仿宋_GB2312"/>
                <w:lang w:val="en-US" w:eastAsia="uk-UA"/>
              </w:rPr>
            </w:pPr>
            <w:r>
              <w:rPr>
                <w:rFonts w:hint="eastAsia" w:ascii="仿宋_GB2312" w:hAnsi="仿宋_GB2312" w:eastAsia="仿宋_GB2312" w:cs="仿宋_GB2312"/>
              </w:rPr>
              <w:t>≥95%</w:t>
            </w:r>
          </w:p>
        </w:tc>
        <w:tc>
          <w:tcPr>
            <w:tcW w:w="2155" w:type="dxa"/>
            <w:shd w:val="clear" w:color="auto" w:fill="auto"/>
            <w:vAlign w:val="center"/>
          </w:tcPr>
          <w:p>
            <w:pPr>
              <w:pStyle w:val="15"/>
              <w:rPr>
                <w:rFonts w:hint="eastAsia" w:ascii="仿宋_GB2312" w:hAnsi="仿宋_GB2312" w:eastAsia="仿宋_GB2312" w:cs="仿宋_GB2312"/>
                <w:lang w:val="en-US" w:eastAsia="uk-UA"/>
              </w:rPr>
            </w:pPr>
            <w:r>
              <w:rPr>
                <w:rFonts w:hint="eastAsia" w:ascii="仿宋_GB2312" w:hAnsi="仿宋_GB2312" w:eastAsia="仿宋_GB2312" w:cs="仿宋_GB2312"/>
              </w:rPr>
              <w:t>问卷调查</w:t>
            </w:r>
          </w:p>
        </w:tc>
      </w:tr>
    </w:tbl>
    <w:p>
      <w:pPr>
        <w:ind w:firstLine="560" w:firstLineChars="200"/>
        <w:jc w:val="left"/>
        <w:outlineLvl w:val="1"/>
        <w:rPr>
          <w:rFonts w:ascii="Times New Roman" w:hAnsi="Times New Roman" w:eastAsia="仿宋_GB2312" w:cs="Times New Roman"/>
          <w:sz w:val="28"/>
        </w:rPr>
      </w:pPr>
    </w:p>
    <w:p>
      <w:pPr>
        <w:ind w:firstLine="560" w:firstLineChars="200"/>
        <w:jc w:val="left"/>
        <w:outlineLvl w:val="1"/>
        <w:rPr>
          <w:rFonts w:ascii="Times New Roman" w:hAnsi="Times New Roman" w:eastAsia="仿宋_GB2312" w:cs="Times New Roman"/>
          <w:sz w:val="28"/>
        </w:rPr>
      </w:pPr>
    </w:p>
    <w:p>
      <w:pPr>
        <w:ind w:firstLine="560" w:firstLineChars="200"/>
        <w:jc w:val="left"/>
        <w:outlineLvl w:val="1"/>
        <w:rPr>
          <w:rFonts w:hint="eastAsia" w:ascii="Times New Roman" w:hAnsi="Times New Roman" w:eastAsia="仿宋_GB2312" w:cs="Times New Roman"/>
          <w:sz w:val="28"/>
          <w:lang w:val="en-US" w:eastAsia="zh-CN"/>
        </w:rPr>
      </w:pPr>
    </w:p>
    <w:p>
      <w:pPr>
        <w:ind w:firstLine="640" w:firstLineChars="200"/>
        <w:jc w:val="left"/>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.2021年第二批新型基础设施建设专项（应急通信领域）中央基建资金绩效目标表</w:t>
      </w:r>
    </w:p>
    <w:p>
      <w:pPr>
        <w:spacing w:line="14" w:lineRule="exact"/>
        <w:ind w:firstLine="420" w:firstLineChars="200"/>
        <w:jc w:val="center"/>
        <w:rPr>
          <w:rFonts w:ascii="Times New Roman" w:hAnsi="Times New Roman" w:eastAsia="仿宋_GB2312" w:cs="Times New Roman"/>
        </w:rPr>
      </w:pPr>
    </w:p>
    <w:tbl>
      <w:tblPr>
        <w:tblStyle w:val="9"/>
        <w:tblW w:w="1406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09"/>
        <w:gridCol w:w="2268"/>
        <w:gridCol w:w="1985"/>
        <w:gridCol w:w="3402"/>
        <w:gridCol w:w="1843"/>
        <w:gridCol w:w="215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2409"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绩效目标</w:t>
            </w:r>
          </w:p>
        </w:tc>
        <w:tc>
          <w:tcPr>
            <w:tcW w:w="11653" w:type="dxa"/>
            <w:gridSpan w:val="5"/>
            <w:shd w:val="clear" w:color="auto" w:fill="auto"/>
            <w:vAlign w:val="center"/>
          </w:tcPr>
          <w:p>
            <w:pPr>
              <w:spacing w:line="300" w:lineRule="exact"/>
              <w:rPr>
                <w:rFonts w:ascii="Times New Roman" w:hAnsi="Times New Roman" w:eastAsia="仿宋_GB2312" w:cs="Times New Roman"/>
                <w:b/>
              </w:rPr>
            </w:pPr>
            <w:r>
              <w:rPr>
                <w:rFonts w:hint="eastAsia" w:ascii="仿宋_GB2312" w:hAnsi="仿宋_GB2312" w:eastAsia="仿宋_GB2312" w:cs="仿宋_GB2312"/>
              </w:rPr>
              <w:t>1.通过项目完成，达到提高重大活动的应急通信保障能力。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2409"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一级指标</w:t>
            </w:r>
          </w:p>
        </w:tc>
        <w:tc>
          <w:tcPr>
            <w:tcW w:w="2268"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二级指标</w:t>
            </w:r>
          </w:p>
        </w:tc>
        <w:tc>
          <w:tcPr>
            <w:tcW w:w="1985"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三级指标</w:t>
            </w:r>
          </w:p>
        </w:tc>
        <w:tc>
          <w:tcPr>
            <w:tcW w:w="3402"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绩效指标描述</w:t>
            </w:r>
          </w:p>
        </w:tc>
        <w:tc>
          <w:tcPr>
            <w:tcW w:w="1843"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指标值</w:t>
            </w:r>
          </w:p>
        </w:tc>
        <w:tc>
          <w:tcPr>
            <w:tcW w:w="2155"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restart"/>
            <w:shd w:val="clear" w:color="auto" w:fill="auto"/>
            <w:vAlign w:val="center"/>
          </w:tcPr>
          <w:p>
            <w:pPr>
              <w:spacing w:line="300" w:lineRule="exact"/>
              <w:jc w:val="center"/>
              <w:rPr>
                <w:rFonts w:ascii="Times New Roman" w:hAnsi="Times New Roman" w:eastAsia="仿宋_GB2312" w:cs="Times New Roman"/>
              </w:rPr>
            </w:pPr>
            <w:r>
              <w:rPr>
                <w:rFonts w:ascii="Times New Roman" w:hAnsi="Times New Roman" w:eastAsia="仿宋_GB2312" w:cs="Times New Roman"/>
              </w:rPr>
              <w:t>产出指标</w:t>
            </w:r>
          </w:p>
        </w:tc>
        <w:tc>
          <w:tcPr>
            <w:tcW w:w="2268"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数量指标</w:t>
            </w:r>
          </w:p>
        </w:tc>
        <w:tc>
          <w:tcPr>
            <w:tcW w:w="1985"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设备件数</w:t>
            </w:r>
          </w:p>
        </w:tc>
        <w:tc>
          <w:tcPr>
            <w:tcW w:w="3402"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设备件数</w:t>
            </w:r>
          </w:p>
        </w:tc>
        <w:tc>
          <w:tcPr>
            <w:tcW w:w="1843"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58台（套）</w:t>
            </w:r>
          </w:p>
        </w:tc>
        <w:tc>
          <w:tcPr>
            <w:tcW w:w="2155"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《关于加快推进河北省重大活动应急通信保障能力提升工程项目建设的通知》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tc>
        <w:tc>
          <w:tcPr>
            <w:tcW w:w="2268"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质量指标</w:t>
            </w:r>
          </w:p>
        </w:tc>
        <w:tc>
          <w:tcPr>
            <w:tcW w:w="1985"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错误率</w:t>
            </w:r>
          </w:p>
        </w:tc>
        <w:tc>
          <w:tcPr>
            <w:tcW w:w="3402"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系统运行的错误率不高于5%</w:t>
            </w:r>
          </w:p>
        </w:tc>
        <w:tc>
          <w:tcPr>
            <w:tcW w:w="1843"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≤5%</w:t>
            </w:r>
          </w:p>
        </w:tc>
        <w:tc>
          <w:tcPr>
            <w:tcW w:w="2155"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《关于加快推进河北省重大活动应急通信保障能力提升工程项目建设的通知》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tc>
        <w:tc>
          <w:tcPr>
            <w:tcW w:w="2268"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时效指标</w:t>
            </w:r>
          </w:p>
        </w:tc>
        <w:tc>
          <w:tcPr>
            <w:tcW w:w="1985"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完成及时性</w:t>
            </w:r>
          </w:p>
        </w:tc>
        <w:tc>
          <w:tcPr>
            <w:tcW w:w="3402"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2022年底前完成</w:t>
            </w:r>
          </w:p>
        </w:tc>
        <w:tc>
          <w:tcPr>
            <w:tcW w:w="1843"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按时完成</w:t>
            </w:r>
          </w:p>
        </w:tc>
        <w:tc>
          <w:tcPr>
            <w:tcW w:w="2155"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《关于加快推进河北省重大活动应急通信保障能力提升工程项目建设的通知》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tc>
        <w:tc>
          <w:tcPr>
            <w:tcW w:w="2268"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成本指标</w:t>
            </w:r>
          </w:p>
        </w:tc>
        <w:tc>
          <w:tcPr>
            <w:tcW w:w="1985"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卫星功放成本</w:t>
            </w:r>
          </w:p>
        </w:tc>
        <w:tc>
          <w:tcPr>
            <w:tcW w:w="3402"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卫星功放成本不超过12.8万元/台</w:t>
            </w:r>
          </w:p>
        </w:tc>
        <w:tc>
          <w:tcPr>
            <w:tcW w:w="1843"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≤12.8万元</w:t>
            </w:r>
          </w:p>
        </w:tc>
        <w:tc>
          <w:tcPr>
            <w:tcW w:w="2155"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《关于加快推进河北省重大活动应急通信保障能力提升工程项目建设的通知》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shd w:val="clear" w:color="auto" w:fill="auto"/>
            <w:vAlign w:val="center"/>
          </w:tcPr>
          <w:p>
            <w:pPr>
              <w:spacing w:line="300" w:lineRule="exact"/>
              <w:jc w:val="center"/>
              <w:rPr>
                <w:rFonts w:ascii="Times New Roman" w:hAnsi="Times New Roman" w:eastAsia="仿宋_GB2312" w:cs="Times New Roman"/>
              </w:rPr>
            </w:pPr>
            <w:r>
              <w:rPr>
                <w:rFonts w:ascii="Times New Roman" w:hAnsi="Times New Roman" w:eastAsia="仿宋_GB2312" w:cs="Times New Roman"/>
              </w:rPr>
              <w:t>效果指标</w:t>
            </w:r>
          </w:p>
        </w:tc>
        <w:tc>
          <w:tcPr>
            <w:tcW w:w="2268"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社会效益指标</w:t>
            </w:r>
          </w:p>
        </w:tc>
        <w:tc>
          <w:tcPr>
            <w:tcW w:w="1985"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提高应急保障能力</w:t>
            </w:r>
          </w:p>
        </w:tc>
        <w:tc>
          <w:tcPr>
            <w:tcW w:w="3402"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提高重大活动应急通信保障能力水平</w:t>
            </w:r>
          </w:p>
        </w:tc>
        <w:tc>
          <w:tcPr>
            <w:tcW w:w="1843"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提高</w:t>
            </w:r>
          </w:p>
        </w:tc>
        <w:tc>
          <w:tcPr>
            <w:tcW w:w="2155"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《关于加快推进河北省重大活动应急通信保障能力提升工程项目建设的通知》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shd w:val="clear" w:color="auto" w:fill="auto"/>
            <w:vAlign w:val="center"/>
          </w:tcPr>
          <w:p>
            <w:pPr>
              <w:spacing w:line="300" w:lineRule="exact"/>
              <w:jc w:val="center"/>
              <w:rPr>
                <w:rFonts w:ascii="Times New Roman" w:hAnsi="Times New Roman" w:eastAsia="仿宋_GB2312" w:cs="Times New Roman"/>
              </w:rPr>
            </w:pPr>
            <w:r>
              <w:rPr>
                <w:rFonts w:ascii="Times New Roman" w:hAnsi="Times New Roman" w:eastAsia="仿宋_GB2312" w:cs="Times New Roman"/>
              </w:rPr>
              <w:t>满意度指标</w:t>
            </w:r>
          </w:p>
        </w:tc>
        <w:tc>
          <w:tcPr>
            <w:tcW w:w="2268"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服务对象满意度指标</w:t>
            </w:r>
          </w:p>
        </w:tc>
        <w:tc>
          <w:tcPr>
            <w:tcW w:w="1985"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用户满意度</w:t>
            </w:r>
          </w:p>
        </w:tc>
        <w:tc>
          <w:tcPr>
            <w:tcW w:w="3402"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用户满意度</w:t>
            </w:r>
          </w:p>
        </w:tc>
        <w:tc>
          <w:tcPr>
            <w:tcW w:w="1843"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≥95%</w:t>
            </w:r>
          </w:p>
        </w:tc>
        <w:tc>
          <w:tcPr>
            <w:tcW w:w="2155"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调查问卷</w:t>
            </w:r>
          </w:p>
        </w:tc>
      </w:tr>
    </w:tbl>
    <w:p>
      <w:pPr>
        <w:ind w:firstLine="640" w:firstLineChars="200"/>
        <w:jc w:val="left"/>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.2021年中央自然灾害救灾资金绩效目标表</w:t>
      </w:r>
    </w:p>
    <w:p>
      <w:pPr>
        <w:spacing w:line="14" w:lineRule="exact"/>
        <w:ind w:firstLine="420" w:firstLineChars="200"/>
        <w:jc w:val="center"/>
        <w:rPr>
          <w:rFonts w:ascii="Times New Roman" w:hAnsi="Times New Roman" w:eastAsia="仿宋_GB2312" w:cs="Times New Roman"/>
        </w:rPr>
      </w:pPr>
    </w:p>
    <w:tbl>
      <w:tblPr>
        <w:tblStyle w:val="9"/>
        <w:tblW w:w="1406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09"/>
        <w:gridCol w:w="2268"/>
        <w:gridCol w:w="1985"/>
        <w:gridCol w:w="3402"/>
        <w:gridCol w:w="1843"/>
        <w:gridCol w:w="215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2409"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绩效目标</w:t>
            </w:r>
          </w:p>
        </w:tc>
        <w:tc>
          <w:tcPr>
            <w:tcW w:w="11653" w:type="dxa"/>
            <w:gridSpan w:val="5"/>
            <w:shd w:val="clear" w:color="auto" w:fill="auto"/>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1.完成应急物资和设备购置，提高应急抢险水平</w:t>
            </w:r>
          </w:p>
          <w:p>
            <w:pPr>
              <w:spacing w:line="300" w:lineRule="exact"/>
              <w:rPr>
                <w:rFonts w:ascii="Times New Roman" w:hAnsi="Times New Roman" w:eastAsia="仿宋_GB2312" w:cs="Times New Roman"/>
                <w:b/>
              </w:rPr>
            </w:pPr>
            <w:r>
              <w:rPr>
                <w:rFonts w:hint="eastAsia" w:ascii="仿宋_GB2312" w:hAnsi="仿宋_GB2312" w:eastAsia="仿宋_GB2312" w:cs="仿宋_GB2312"/>
              </w:rPr>
              <w:t>2.增加应急物资和设备储备，减少自然灾害损失</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2409"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一级指标</w:t>
            </w:r>
          </w:p>
        </w:tc>
        <w:tc>
          <w:tcPr>
            <w:tcW w:w="2268"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二级指标</w:t>
            </w:r>
          </w:p>
        </w:tc>
        <w:tc>
          <w:tcPr>
            <w:tcW w:w="1985"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三级指标</w:t>
            </w:r>
          </w:p>
        </w:tc>
        <w:tc>
          <w:tcPr>
            <w:tcW w:w="3402"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绩效指标描述</w:t>
            </w:r>
          </w:p>
        </w:tc>
        <w:tc>
          <w:tcPr>
            <w:tcW w:w="1843"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指标值</w:t>
            </w:r>
          </w:p>
        </w:tc>
        <w:tc>
          <w:tcPr>
            <w:tcW w:w="2155"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restart"/>
            <w:shd w:val="clear" w:color="auto" w:fill="auto"/>
            <w:vAlign w:val="center"/>
          </w:tcPr>
          <w:p>
            <w:pPr>
              <w:spacing w:line="300" w:lineRule="exact"/>
              <w:jc w:val="center"/>
              <w:rPr>
                <w:rFonts w:ascii="Times New Roman" w:hAnsi="Times New Roman" w:eastAsia="仿宋_GB2312" w:cs="Times New Roman"/>
              </w:rPr>
            </w:pPr>
            <w:r>
              <w:rPr>
                <w:rFonts w:ascii="Times New Roman" w:hAnsi="Times New Roman" w:eastAsia="仿宋_GB2312" w:cs="Times New Roman"/>
              </w:rPr>
              <w:t>产出指标</w:t>
            </w:r>
          </w:p>
        </w:tc>
        <w:tc>
          <w:tcPr>
            <w:tcW w:w="2268"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数量指标</w:t>
            </w:r>
          </w:p>
        </w:tc>
        <w:tc>
          <w:tcPr>
            <w:tcW w:w="1985"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购置物资种类</w:t>
            </w:r>
          </w:p>
        </w:tc>
        <w:tc>
          <w:tcPr>
            <w:tcW w:w="3402"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购置物资种类</w:t>
            </w:r>
          </w:p>
        </w:tc>
        <w:tc>
          <w:tcPr>
            <w:tcW w:w="1843"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4种</w:t>
            </w:r>
          </w:p>
        </w:tc>
        <w:tc>
          <w:tcPr>
            <w:tcW w:w="2155"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冀应急函[2021]192号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tc>
        <w:tc>
          <w:tcPr>
            <w:tcW w:w="2268"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质量指标</w:t>
            </w:r>
          </w:p>
        </w:tc>
        <w:tc>
          <w:tcPr>
            <w:tcW w:w="1985"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购置物资合格率</w:t>
            </w:r>
          </w:p>
        </w:tc>
        <w:tc>
          <w:tcPr>
            <w:tcW w:w="3402"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购置物资合格率</w:t>
            </w:r>
          </w:p>
        </w:tc>
        <w:tc>
          <w:tcPr>
            <w:tcW w:w="1843"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100%</w:t>
            </w:r>
          </w:p>
        </w:tc>
        <w:tc>
          <w:tcPr>
            <w:tcW w:w="2155"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冀应急函[2021]192号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tc>
        <w:tc>
          <w:tcPr>
            <w:tcW w:w="2268"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时效指标</w:t>
            </w:r>
          </w:p>
        </w:tc>
        <w:tc>
          <w:tcPr>
            <w:tcW w:w="1985"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购置物资完成时限</w:t>
            </w:r>
          </w:p>
        </w:tc>
        <w:tc>
          <w:tcPr>
            <w:tcW w:w="3402"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2022年6月30日</w:t>
            </w:r>
          </w:p>
        </w:tc>
        <w:tc>
          <w:tcPr>
            <w:tcW w:w="1843"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按时完成</w:t>
            </w:r>
          </w:p>
        </w:tc>
        <w:tc>
          <w:tcPr>
            <w:tcW w:w="2155"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冀应急函[2021]192号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tc>
        <w:tc>
          <w:tcPr>
            <w:tcW w:w="2268"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成本指标</w:t>
            </w:r>
          </w:p>
        </w:tc>
        <w:tc>
          <w:tcPr>
            <w:tcW w:w="1985"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购置物资成本</w:t>
            </w:r>
          </w:p>
        </w:tc>
        <w:tc>
          <w:tcPr>
            <w:tcW w:w="3402"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占预算比例小于100%</w:t>
            </w:r>
          </w:p>
        </w:tc>
        <w:tc>
          <w:tcPr>
            <w:tcW w:w="1843"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&lt;100%</w:t>
            </w:r>
          </w:p>
        </w:tc>
        <w:tc>
          <w:tcPr>
            <w:tcW w:w="2155"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冀应急函[2021]192号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shd w:val="clear" w:color="auto" w:fill="auto"/>
            <w:vAlign w:val="center"/>
          </w:tcPr>
          <w:p>
            <w:pPr>
              <w:spacing w:line="300" w:lineRule="exact"/>
              <w:jc w:val="center"/>
              <w:rPr>
                <w:rFonts w:ascii="Times New Roman" w:hAnsi="Times New Roman" w:eastAsia="仿宋_GB2312" w:cs="Times New Roman"/>
              </w:rPr>
            </w:pPr>
            <w:r>
              <w:rPr>
                <w:rFonts w:ascii="Times New Roman" w:hAnsi="Times New Roman" w:eastAsia="仿宋_GB2312" w:cs="Times New Roman"/>
              </w:rPr>
              <w:t>效果指标</w:t>
            </w:r>
          </w:p>
        </w:tc>
        <w:tc>
          <w:tcPr>
            <w:tcW w:w="2268"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社会效益指标</w:t>
            </w:r>
          </w:p>
        </w:tc>
        <w:tc>
          <w:tcPr>
            <w:tcW w:w="1985"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提升应急抢险水平</w:t>
            </w:r>
          </w:p>
        </w:tc>
        <w:tc>
          <w:tcPr>
            <w:tcW w:w="3402"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提升应急抢险水平，对我市应急救援工作产生积极影响</w:t>
            </w:r>
          </w:p>
        </w:tc>
        <w:tc>
          <w:tcPr>
            <w:tcW w:w="1843"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提升</w:t>
            </w:r>
          </w:p>
        </w:tc>
        <w:tc>
          <w:tcPr>
            <w:tcW w:w="2155"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冀应急函[2021]192号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shd w:val="clear" w:color="auto" w:fill="auto"/>
            <w:vAlign w:val="center"/>
          </w:tcPr>
          <w:p>
            <w:pPr>
              <w:spacing w:line="300" w:lineRule="exact"/>
              <w:jc w:val="center"/>
              <w:rPr>
                <w:rFonts w:ascii="Times New Roman" w:hAnsi="Times New Roman" w:eastAsia="仿宋_GB2312" w:cs="Times New Roman"/>
              </w:rPr>
            </w:pPr>
            <w:r>
              <w:rPr>
                <w:rFonts w:ascii="Times New Roman" w:hAnsi="Times New Roman" w:eastAsia="仿宋_GB2312" w:cs="Times New Roman"/>
              </w:rPr>
              <w:t>满意度指标</w:t>
            </w:r>
          </w:p>
        </w:tc>
        <w:tc>
          <w:tcPr>
            <w:tcW w:w="2268"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服务对象满意度指标</w:t>
            </w:r>
          </w:p>
        </w:tc>
        <w:tc>
          <w:tcPr>
            <w:tcW w:w="1985"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物资使用单位满意度</w:t>
            </w:r>
          </w:p>
        </w:tc>
        <w:tc>
          <w:tcPr>
            <w:tcW w:w="3402"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物资使用单位满意度</w:t>
            </w:r>
          </w:p>
        </w:tc>
        <w:tc>
          <w:tcPr>
            <w:tcW w:w="1843"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≥90%</w:t>
            </w:r>
          </w:p>
        </w:tc>
        <w:tc>
          <w:tcPr>
            <w:tcW w:w="2155"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调查问卷</w:t>
            </w:r>
          </w:p>
        </w:tc>
      </w:tr>
    </w:tbl>
    <w:p>
      <w:pPr>
        <w:ind w:firstLine="560" w:firstLineChars="200"/>
        <w:jc w:val="left"/>
        <w:outlineLvl w:val="1"/>
        <w:rPr>
          <w:rFonts w:hint="eastAsia" w:ascii="Times New Roman" w:hAnsi="Times New Roman" w:eastAsia="仿宋_GB2312" w:cs="Times New Roman"/>
          <w:sz w:val="28"/>
          <w:lang w:val="en-US" w:eastAsia="zh-CN"/>
        </w:rPr>
      </w:pPr>
    </w:p>
    <w:p>
      <w:pPr>
        <w:ind w:firstLine="560" w:firstLineChars="200"/>
        <w:jc w:val="left"/>
        <w:outlineLvl w:val="1"/>
        <w:rPr>
          <w:rFonts w:hint="eastAsia" w:ascii="Times New Roman" w:hAnsi="Times New Roman" w:eastAsia="仿宋_GB2312" w:cs="Times New Roman"/>
          <w:sz w:val="28"/>
          <w:lang w:val="en-US" w:eastAsia="zh-CN"/>
        </w:rPr>
      </w:pPr>
    </w:p>
    <w:p>
      <w:pPr>
        <w:ind w:firstLine="560" w:firstLineChars="200"/>
        <w:jc w:val="left"/>
        <w:outlineLvl w:val="1"/>
        <w:rPr>
          <w:rFonts w:hint="eastAsia" w:ascii="Times New Roman" w:hAnsi="Times New Roman" w:eastAsia="仿宋_GB2312" w:cs="Times New Roman"/>
          <w:sz w:val="28"/>
          <w:lang w:val="en-US" w:eastAsia="zh-CN"/>
        </w:rPr>
      </w:pPr>
    </w:p>
    <w:p>
      <w:pPr>
        <w:ind w:firstLine="560" w:firstLineChars="200"/>
        <w:jc w:val="left"/>
        <w:outlineLvl w:val="1"/>
        <w:rPr>
          <w:rFonts w:hint="eastAsia" w:ascii="Times New Roman" w:hAnsi="Times New Roman" w:eastAsia="仿宋_GB2312" w:cs="Times New Roman"/>
          <w:sz w:val="28"/>
          <w:lang w:val="en-US" w:eastAsia="zh-CN"/>
        </w:rPr>
      </w:pPr>
    </w:p>
    <w:p>
      <w:pPr>
        <w:ind w:firstLine="640" w:firstLineChars="200"/>
        <w:jc w:val="left"/>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.2022年自然灾害救助专项资金（冀财建[2021]235号）绩效目标表</w:t>
      </w:r>
    </w:p>
    <w:p>
      <w:pPr>
        <w:spacing w:line="14" w:lineRule="exact"/>
        <w:ind w:firstLine="420" w:firstLineChars="200"/>
        <w:jc w:val="center"/>
        <w:rPr>
          <w:rFonts w:ascii="Times New Roman" w:hAnsi="Times New Roman" w:eastAsia="仿宋_GB2312" w:cs="Times New Roman"/>
        </w:rPr>
      </w:pPr>
    </w:p>
    <w:tbl>
      <w:tblPr>
        <w:tblStyle w:val="9"/>
        <w:tblW w:w="1406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09"/>
        <w:gridCol w:w="2268"/>
        <w:gridCol w:w="1985"/>
        <w:gridCol w:w="3402"/>
        <w:gridCol w:w="1843"/>
        <w:gridCol w:w="215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2409"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绩效目标</w:t>
            </w:r>
          </w:p>
        </w:tc>
        <w:tc>
          <w:tcPr>
            <w:tcW w:w="11653" w:type="dxa"/>
            <w:gridSpan w:val="5"/>
            <w:shd w:val="clear" w:color="auto" w:fill="auto"/>
            <w:vAlign w:val="center"/>
          </w:tcPr>
          <w:p>
            <w:pPr>
              <w:spacing w:line="300" w:lineRule="exact"/>
              <w:rPr>
                <w:rFonts w:ascii="Times New Roman" w:hAnsi="Times New Roman" w:eastAsia="仿宋_GB2312" w:cs="Times New Roman"/>
                <w:b/>
              </w:rPr>
            </w:pPr>
            <w:r>
              <w:rPr>
                <w:rFonts w:hint="eastAsia" w:ascii="仿宋_GB2312" w:hAnsi="仿宋_GB2312" w:eastAsia="仿宋_GB2312" w:cs="仿宋_GB2312"/>
              </w:rPr>
              <w:t>1.开展救灾演练1次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2409"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一级指标</w:t>
            </w:r>
          </w:p>
        </w:tc>
        <w:tc>
          <w:tcPr>
            <w:tcW w:w="2268"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二级指标</w:t>
            </w:r>
          </w:p>
        </w:tc>
        <w:tc>
          <w:tcPr>
            <w:tcW w:w="1985"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三级指标</w:t>
            </w:r>
          </w:p>
        </w:tc>
        <w:tc>
          <w:tcPr>
            <w:tcW w:w="3402"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绩效指标描述</w:t>
            </w:r>
          </w:p>
        </w:tc>
        <w:tc>
          <w:tcPr>
            <w:tcW w:w="1843"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指标值</w:t>
            </w:r>
          </w:p>
        </w:tc>
        <w:tc>
          <w:tcPr>
            <w:tcW w:w="2155"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restart"/>
            <w:shd w:val="clear" w:color="auto" w:fill="auto"/>
            <w:vAlign w:val="center"/>
          </w:tcPr>
          <w:p>
            <w:pPr>
              <w:spacing w:line="300" w:lineRule="exact"/>
              <w:jc w:val="center"/>
              <w:rPr>
                <w:rFonts w:ascii="Times New Roman" w:hAnsi="Times New Roman" w:eastAsia="仿宋_GB2312" w:cs="Times New Roman"/>
              </w:rPr>
            </w:pPr>
            <w:r>
              <w:rPr>
                <w:rFonts w:ascii="Times New Roman" w:hAnsi="Times New Roman" w:eastAsia="仿宋_GB2312" w:cs="Times New Roman"/>
              </w:rPr>
              <w:t>产出指标</w:t>
            </w:r>
          </w:p>
        </w:tc>
        <w:tc>
          <w:tcPr>
            <w:tcW w:w="2268"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数量指标</w:t>
            </w:r>
          </w:p>
        </w:tc>
        <w:tc>
          <w:tcPr>
            <w:tcW w:w="1985"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演练次数</w:t>
            </w:r>
          </w:p>
        </w:tc>
        <w:tc>
          <w:tcPr>
            <w:tcW w:w="3402"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演练次数</w:t>
            </w:r>
          </w:p>
        </w:tc>
        <w:tc>
          <w:tcPr>
            <w:tcW w:w="1843"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1次</w:t>
            </w:r>
          </w:p>
        </w:tc>
        <w:tc>
          <w:tcPr>
            <w:tcW w:w="2155"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（冀财建[2021]235号）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tc>
        <w:tc>
          <w:tcPr>
            <w:tcW w:w="2268"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质量指标</w:t>
            </w:r>
          </w:p>
        </w:tc>
        <w:tc>
          <w:tcPr>
            <w:tcW w:w="1985"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演练规范率</w:t>
            </w:r>
          </w:p>
        </w:tc>
        <w:tc>
          <w:tcPr>
            <w:tcW w:w="3402"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演练规范率</w:t>
            </w:r>
          </w:p>
        </w:tc>
        <w:tc>
          <w:tcPr>
            <w:tcW w:w="1843"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100%</w:t>
            </w:r>
          </w:p>
        </w:tc>
        <w:tc>
          <w:tcPr>
            <w:tcW w:w="2155"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（冀财建[2021]235号）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tc>
        <w:tc>
          <w:tcPr>
            <w:tcW w:w="2268"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时效指标</w:t>
            </w:r>
          </w:p>
        </w:tc>
        <w:tc>
          <w:tcPr>
            <w:tcW w:w="1985"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按计划完成</w:t>
            </w:r>
          </w:p>
        </w:tc>
        <w:tc>
          <w:tcPr>
            <w:tcW w:w="3402"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2022年10月底前完成</w:t>
            </w:r>
          </w:p>
        </w:tc>
        <w:tc>
          <w:tcPr>
            <w:tcW w:w="1843"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按计划完成</w:t>
            </w:r>
          </w:p>
        </w:tc>
        <w:tc>
          <w:tcPr>
            <w:tcW w:w="2155"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（冀财建[2021]235号）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tc>
        <w:tc>
          <w:tcPr>
            <w:tcW w:w="2268"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成本指标</w:t>
            </w:r>
          </w:p>
        </w:tc>
        <w:tc>
          <w:tcPr>
            <w:tcW w:w="1985"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成本预算</w:t>
            </w:r>
          </w:p>
        </w:tc>
        <w:tc>
          <w:tcPr>
            <w:tcW w:w="3402"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成本预算不高于当年预算</w:t>
            </w:r>
          </w:p>
        </w:tc>
        <w:tc>
          <w:tcPr>
            <w:tcW w:w="1843"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≤10万元</w:t>
            </w:r>
          </w:p>
        </w:tc>
        <w:tc>
          <w:tcPr>
            <w:tcW w:w="2155"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（冀财建[2021]235号）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shd w:val="clear" w:color="auto" w:fill="auto"/>
            <w:vAlign w:val="center"/>
          </w:tcPr>
          <w:p>
            <w:pPr>
              <w:spacing w:line="300" w:lineRule="exact"/>
              <w:jc w:val="center"/>
              <w:rPr>
                <w:rFonts w:ascii="Times New Roman" w:hAnsi="Times New Roman" w:eastAsia="仿宋_GB2312" w:cs="Times New Roman"/>
              </w:rPr>
            </w:pPr>
            <w:r>
              <w:rPr>
                <w:rFonts w:ascii="Times New Roman" w:hAnsi="Times New Roman" w:eastAsia="仿宋_GB2312" w:cs="Times New Roman"/>
              </w:rPr>
              <w:t>效果指标</w:t>
            </w:r>
          </w:p>
        </w:tc>
        <w:tc>
          <w:tcPr>
            <w:tcW w:w="2268"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社会效益指标</w:t>
            </w:r>
          </w:p>
        </w:tc>
        <w:tc>
          <w:tcPr>
            <w:tcW w:w="1985"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提高救灾能力</w:t>
            </w:r>
          </w:p>
        </w:tc>
        <w:tc>
          <w:tcPr>
            <w:tcW w:w="3402"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提高救灾能力</w:t>
            </w:r>
          </w:p>
        </w:tc>
        <w:tc>
          <w:tcPr>
            <w:tcW w:w="1843"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提高救灾能力</w:t>
            </w:r>
          </w:p>
        </w:tc>
        <w:tc>
          <w:tcPr>
            <w:tcW w:w="2155"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（冀财建[2021]235号）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shd w:val="clear" w:color="auto" w:fill="auto"/>
            <w:vAlign w:val="center"/>
          </w:tcPr>
          <w:p>
            <w:pPr>
              <w:spacing w:line="300" w:lineRule="exact"/>
              <w:jc w:val="center"/>
              <w:rPr>
                <w:rFonts w:ascii="Times New Roman" w:hAnsi="Times New Roman" w:eastAsia="仿宋_GB2312" w:cs="Times New Roman"/>
              </w:rPr>
            </w:pPr>
            <w:r>
              <w:rPr>
                <w:rFonts w:ascii="Times New Roman" w:hAnsi="Times New Roman" w:eastAsia="仿宋_GB2312" w:cs="Times New Roman"/>
              </w:rPr>
              <w:t>满意度指标</w:t>
            </w:r>
          </w:p>
        </w:tc>
        <w:tc>
          <w:tcPr>
            <w:tcW w:w="2268"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服务对象满意度指标</w:t>
            </w:r>
          </w:p>
        </w:tc>
        <w:tc>
          <w:tcPr>
            <w:tcW w:w="1985"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参演人员满意度</w:t>
            </w:r>
          </w:p>
        </w:tc>
        <w:tc>
          <w:tcPr>
            <w:tcW w:w="3402"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参演人员满意度</w:t>
            </w:r>
          </w:p>
        </w:tc>
        <w:tc>
          <w:tcPr>
            <w:tcW w:w="1843"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≥95%</w:t>
            </w:r>
          </w:p>
        </w:tc>
        <w:tc>
          <w:tcPr>
            <w:tcW w:w="2155" w:type="dxa"/>
            <w:shd w:val="clear" w:color="auto" w:fill="auto"/>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调查问卷</w:t>
            </w:r>
          </w:p>
        </w:tc>
      </w:tr>
    </w:tbl>
    <w:p>
      <w:pPr>
        <w:ind w:firstLine="560" w:firstLineChars="200"/>
        <w:jc w:val="left"/>
        <w:outlineLvl w:val="1"/>
        <w:rPr>
          <w:rFonts w:hint="eastAsia" w:ascii="Times New Roman" w:hAnsi="Times New Roman" w:eastAsia="仿宋_GB2312" w:cs="Times New Roman"/>
          <w:sz w:val="28"/>
          <w:lang w:val="en-US" w:eastAsia="zh-CN"/>
        </w:rPr>
      </w:pPr>
    </w:p>
    <w:p>
      <w:pPr>
        <w:ind w:firstLine="560" w:firstLineChars="200"/>
        <w:jc w:val="left"/>
        <w:outlineLvl w:val="1"/>
        <w:rPr>
          <w:rFonts w:hint="eastAsia" w:ascii="Times New Roman" w:hAnsi="Times New Roman" w:eastAsia="仿宋_GB2312" w:cs="Times New Roman"/>
          <w:sz w:val="28"/>
          <w:lang w:val="en-US" w:eastAsia="zh-CN"/>
        </w:rPr>
      </w:pPr>
    </w:p>
    <w:p>
      <w:pPr>
        <w:ind w:firstLine="560" w:firstLineChars="200"/>
        <w:jc w:val="left"/>
        <w:outlineLvl w:val="1"/>
        <w:rPr>
          <w:rFonts w:hint="eastAsia" w:ascii="Times New Roman" w:hAnsi="Times New Roman" w:eastAsia="仿宋_GB2312" w:cs="Times New Roman"/>
          <w:sz w:val="28"/>
          <w:lang w:val="en-US" w:eastAsia="zh-CN"/>
        </w:rPr>
      </w:pPr>
    </w:p>
    <w:p>
      <w:pPr>
        <w:ind w:firstLine="560" w:firstLineChars="200"/>
        <w:jc w:val="left"/>
        <w:outlineLvl w:val="1"/>
        <w:rPr>
          <w:rFonts w:hint="eastAsia" w:ascii="Times New Roman" w:hAnsi="Times New Roman" w:eastAsia="仿宋_GB2312" w:cs="Times New Roman"/>
          <w:sz w:val="28"/>
          <w:lang w:val="en-US" w:eastAsia="zh-CN"/>
        </w:rPr>
      </w:pPr>
    </w:p>
    <w:p>
      <w:pPr>
        <w:ind w:firstLine="560" w:firstLineChars="200"/>
        <w:jc w:val="left"/>
        <w:outlineLvl w:val="1"/>
        <w:rPr>
          <w:rFonts w:hint="eastAsia" w:ascii="Times New Roman" w:hAnsi="Times New Roman" w:eastAsia="仿宋_GB2312" w:cs="Times New Roman"/>
          <w:sz w:val="28"/>
          <w:lang w:val="en-US" w:eastAsia="zh-CN"/>
        </w:rPr>
      </w:pPr>
    </w:p>
    <w:p>
      <w:pPr>
        <w:ind w:firstLine="640" w:firstLineChars="200"/>
        <w:jc w:val="left"/>
        <w:outlineLvl w:val="1"/>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.安全生产举报奖励专项资金绩效目标表</w:t>
      </w:r>
    </w:p>
    <w:p>
      <w:pPr>
        <w:spacing w:line="14" w:lineRule="exact"/>
        <w:ind w:firstLine="420" w:firstLineChars="200"/>
        <w:jc w:val="center"/>
        <w:rPr>
          <w:rFonts w:ascii="Times New Roman" w:hAnsi="Times New Roman" w:eastAsia="仿宋_GB2312" w:cs="Times New Roman"/>
        </w:rPr>
      </w:pPr>
    </w:p>
    <w:tbl>
      <w:tblPr>
        <w:tblStyle w:val="9"/>
        <w:tblW w:w="1406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59"/>
        <w:gridCol w:w="2293"/>
        <w:gridCol w:w="2100"/>
        <w:gridCol w:w="3083"/>
        <w:gridCol w:w="2672"/>
        <w:gridCol w:w="215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759"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绩效目标</w:t>
            </w:r>
          </w:p>
        </w:tc>
        <w:tc>
          <w:tcPr>
            <w:tcW w:w="12303" w:type="dxa"/>
            <w:gridSpan w:val="5"/>
            <w:shd w:val="clear" w:color="auto" w:fill="auto"/>
            <w:vAlign w:val="center"/>
          </w:tcPr>
          <w:p>
            <w:pPr>
              <w:spacing w:line="300" w:lineRule="exact"/>
              <w:rPr>
                <w:rFonts w:ascii="Times New Roman" w:hAnsi="Times New Roman" w:eastAsia="仿宋_GB2312" w:cs="Times New Roman"/>
                <w:b/>
              </w:rPr>
            </w:pPr>
            <w:r>
              <w:rPr>
                <w:rFonts w:hint="eastAsia" w:ascii="仿宋_GB2312" w:hAnsi="仿宋_GB2312" w:eastAsia="仿宋_GB2312" w:cs="仿宋_GB2312"/>
              </w:rPr>
              <w:t>1.按照《河北省安全生产领域举报奖励暂行办法》、《廊坊市安全生产监督管理局 廊坊市财政局关于印发&lt;廊坊市安全生产领域举报奖励办法&gt;的通知》第六条、第七条、第十二条规定，对举报案件属于安监执法主体、实名举报且联系方式有效的举报人，经核查举报情况属实的要进行奖励。</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759"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一级指标</w:t>
            </w:r>
          </w:p>
        </w:tc>
        <w:tc>
          <w:tcPr>
            <w:tcW w:w="2293"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二级指标</w:t>
            </w:r>
          </w:p>
        </w:tc>
        <w:tc>
          <w:tcPr>
            <w:tcW w:w="2100"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三级指标</w:t>
            </w:r>
          </w:p>
        </w:tc>
        <w:tc>
          <w:tcPr>
            <w:tcW w:w="3083"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绩效指标描述</w:t>
            </w:r>
          </w:p>
        </w:tc>
        <w:tc>
          <w:tcPr>
            <w:tcW w:w="2672"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指标值</w:t>
            </w:r>
          </w:p>
        </w:tc>
        <w:tc>
          <w:tcPr>
            <w:tcW w:w="2155"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759" w:type="dxa"/>
            <w:vMerge w:val="restart"/>
            <w:shd w:val="clear" w:color="auto" w:fill="auto"/>
            <w:vAlign w:val="center"/>
          </w:tcPr>
          <w:p>
            <w:pPr>
              <w:spacing w:line="300" w:lineRule="exact"/>
              <w:jc w:val="center"/>
              <w:rPr>
                <w:rFonts w:ascii="Times New Roman" w:hAnsi="Times New Roman" w:eastAsia="仿宋_GB2312" w:cs="Times New Roman"/>
              </w:rPr>
            </w:pPr>
            <w:r>
              <w:rPr>
                <w:rFonts w:ascii="Times New Roman" w:hAnsi="Times New Roman" w:eastAsia="仿宋_GB2312" w:cs="Times New Roman"/>
              </w:rPr>
              <w:t>产出指标</w:t>
            </w:r>
          </w:p>
        </w:tc>
        <w:tc>
          <w:tcPr>
            <w:tcW w:w="2293"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数量指标</w:t>
            </w:r>
          </w:p>
        </w:tc>
        <w:tc>
          <w:tcPr>
            <w:tcW w:w="2100"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举报受理率</w:t>
            </w:r>
          </w:p>
        </w:tc>
        <w:tc>
          <w:tcPr>
            <w:tcW w:w="3083"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举报受理率</w:t>
            </w:r>
          </w:p>
        </w:tc>
        <w:tc>
          <w:tcPr>
            <w:tcW w:w="2672"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≥100%</w:t>
            </w:r>
          </w:p>
        </w:tc>
        <w:tc>
          <w:tcPr>
            <w:tcW w:w="215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《廊坊市安全生产领域举报奖励办法》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759" w:type="dxa"/>
            <w:vMerge w:val="continue"/>
            <w:shd w:val="clear" w:color="auto" w:fill="auto"/>
            <w:vAlign w:val="center"/>
          </w:tcPr>
          <w:p/>
        </w:tc>
        <w:tc>
          <w:tcPr>
            <w:tcW w:w="2293"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质量指标</w:t>
            </w:r>
          </w:p>
        </w:tc>
        <w:tc>
          <w:tcPr>
            <w:tcW w:w="2100"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举报案件调查处理率</w:t>
            </w:r>
          </w:p>
        </w:tc>
        <w:tc>
          <w:tcPr>
            <w:tcW w:w="3083"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举报案件调查处理率</w:t>
            </w:r>
          </w:p>
        </w:tc>
        <w:tc>
          <w:tcPr>
            <w:tcW w:w="2672"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100%</w:t>
            </w:r>
          </w:p>
        </w:tc>
        <w:tc>
          <w:tcPr>
            <w:tcW w:w="215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《廊坊市安全生产领域举报奖励办法》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759" w:type="dxa"/>
            <w:vMerge w:val="continue"/>
            <w:shd w:val="clear" w:color="auto" w:fill="auto"/>
            <w:vAlign w:val="center"/>
          </w:tcPr>
          <w:p/>
        </w:tc>
        <w:tc>
          <w:tcPr>
            <w:tcW w:w="2293"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时效指标</w:t>
            </w:r>
          </w:p>
        </w:tc>
        <w:tc>
          <w:tcPr>
            <w:tcW w:w="2100"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举报案件按时办结率</w:t>
            </w:r>
          </w:p>
        </w:tc>
        <w:tc>
          <w:tcPr>
            <w:tcW w:w="3083"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办结时限为7个工作日，如不能按期完成，申请延期。</w:t>
            </w:r>
          </w:p>
        </w:tc>
        <w:tc>
          <w:tcPr>
            <w:tcW w:w="2672"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100%</w:t>
            </w:r>
          </w:p>
        </w:tc>
        <w:tc>
          <w:tcPr>
            <w:tcW w:w="215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《廊坊市安全生产领域举报奖励办法》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759" w:type="dxa"/>
            <w:vMerge w:val="continue"/>
            <w:shd w:val="clear" w:color="auto" w:fill="auto"/>
            <w:vAlign w:val="center"/>
          </w:tcPr>
          <w:p/>
        </w:tc>
        <w:tc>
          <w:tcPr>
            <w:tcW w:w="2293"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成本指标</w:t>
            </w:r>
          </w:p>
        </w:tc>
        <w:tc>
          <w:tcPr>
            <w:tcW w:w="2100"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举报非法生产经营建设类成本</w:t>
            </w:r>
          </w:p>
        </w:tc>
        <w:tc>
          <w:tcPr>
            <w:tcW w:w="3083"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举报非法生产经营建设行为的，给予举报人2万元奖励</w:t>
            </w:r>
          </w:p>
        </w:tc>
        <w:tc>
          <w:tcPr>
            <w:tcW w:w="2672"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2万元</w:t>
            </w:r>
          </w:p>
        </w:tc>
        <w:tc>
          <w:tcPr>
            <w:tcW w:w="215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《廊坊市安全生产领域举报奖励办法》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759" w:type="dxa"/>
            <w:vMerge w:val="continue"/>
            <w:shd w:val="clear" w:color="auto" w:fill="auto"/>
            <w:vAlign w:val="center"/>
          </w:tcPr>
          <w:p/>
        </w:tc>
        <w:tc>
          <w:tcPr>
            <w:tcW w:w="2293"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成本指标</w:t>
            </w:r>
          </w:p>
        </w:tc>
        <w:tc>
          <w:tcPr>
            <w:tcW w:w="2100"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举报违法生产经营建设类成本</w:t>
            </w:r>
          </w:p>
        </w:tc>
        <w:tc>
          <w:tcPr>
            <w:tcW w:w="3083"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举报违法生产经营建设行为的，给予举报人1万元奖励。</w:t>
            </w:r>
          </w:p>
        </w:tc>
        <w:tc>
          <w:tcPr>
            <w:tcW w:w="2672"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1万元</w:t>
            </w:r>
          </w:p>
        </w:tc>
        <w:tc>
          <w:tcPr>
            <w:tcW w:w="215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《廊坊市安全生产领域举报奖励办法》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759" w:type="dxa"/>
            <w:vMerge w:val="continue"/>
            <w:shd w:val="clear" w:color="auto" w:fill="auto"/>
            <w:vAlign w:val="center"/>
          </w:tcPr>
          <w:p/>
        </w:tc>
        <w:tc>
          <w:tcPr>
            <w:tcW w:w="2293"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成本指标</w:t>
            </w:r>
          </w:p>
        </w:tc>
        <w:tc>
          <w:tcPr>
            <w:tcW w:w="2100"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举报重特大事故隐患类成本</w:t>
            </w:r>
          </w:p>
        </w:tc>
        <w:tc>
          <w:tcPr>
            <w:tcW w:w="3083"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举报重特大事故隐患的，奖励金额按照行政处罚金额的15%计算，最低奖励3000元，最高不超过30万元。</w:t>
            </w:r>
          </w:p>
        </w:tc>
        <w:tc>
          <w:tcPr>
            <w:tcW w:w="2672"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举报重特大事故隐患的，奖励金额按照行政处罚金额的15%计算，最低奖励3000元，最高不超过30万元。</w:t>
            </w:r>
          </w:p>
        </w:tc>
        <w:tc>
          <w:tcPr>
            <w:tcW w:w="215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《廊坊市安全生产领域举报奖励办法》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759" w:type="dxa"/>
            <w:vMerge w:val="continue"/>
            <w:shd w:val="clear" w:color="auto" w:fill="auto"/>
            <w:vAlign w:val="center"/>
          </w:tcPr>
          <w:p/>
        </w:tc>
        <w:tc>
          <w:tcPr>
            <w:tcW w:w="2293"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成本指标</w:t>
            </w:r>
          </w:p>
        </w:tc>
        <w:tc>
          <w:tcPr>
            <w:tcW w:w="2100"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举报一般事故隐患类成本</w:t>
            </w:r>
          </w:p>
        </w:tc>
        <w:tc>
          <w:tcPr>
            <w:tcW w:w="3083"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举报一般事故隐患的，给予举报人500-10000元奖励</w:t>
            </w:r>
          </w:p>
        </w:tc>
        <w:tc>
          <w:tcPr>
            <w:tcW w:w="2672"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举报一般事故隐患的，给予举报人500-10000元奖励</w:t>
            </w:r>
          </w:p>
        </w:tc>
        <w:tc>
          <w:tcPr>
            <w:tcW w:w="215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《廊坊市安全生产领域举报奖励办法》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759" w:type="dxa"/>
            <w:shd w:val="clear" w:color="auto" w:fill="auto"/>
            <w:vAlign w:val="center"/>
          </w:tcPr>
          <w:p>
            <w:pPr>
              <w:spacing w:line="300" w:lineRule="exact"/>
              <w:jc w:val="center"/>
              <w:rPr>
                <w:rFonts w:ascii="Times New Roman" w:hAnsi="Times New Roman" w:eastAsia="仿宋_GB2312" w:cs="Times New Roman"/>
              </w:rPr>
            </w:pPr>
            <w:r>
              <w:rPr>
                <w:rFonts w:ascii="Times New Roman" w:hAnsi="Times New Roman" w:eastAsia="仿宋_GB2312" w:cs="Times New Roman"/>
              </w:rPr>
              <w:t>效果指标</w:t>
            </w:r>
          </w:p>
        </w:tc>
        <w:tc>
          <w:tcPr>
            <w:tcW w:w="2293"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社会效益指标</w:t>
            </w:r>
          </w:p>
        </w:tc>
        <w:tc>
          <w:tcPr>
            <w:tcW w:w="2100"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提高群众监督企业安全生产的积极性</w:t>
            </w:r>
          </w:p>
        </w:tc>
        <w:tc>
          <w:tcPr>
            <w:tcW w:w="3083"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加强安全生产工作的群众监督。</w:t>
            </w:r>
          </w:p>
        </w:tc>
        <w:tc>
          <w:tcPr>
            <w:tcW w:w="2672"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加强安全生产工作的群众监督。</w:t>
            </w:r>
          </w:p>
        </w:tc>
        <w:tc>
          <w:tcPr>
            <w:tcW w:w="215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《廊坊市安全生产领域举报奖励办法》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759" w:type="dxa"/>
            <w:shd w:val="clear" w:color="auto" w:fill="auto"/>
            <w:vAlign w:val="center"/>
          </w:tcPr>
          <w:p>
            <w:pPr>
              <w:spacing w:line="300" w:lineRule="exact"/>
              <w:jc w:val="center"/>
              <w:rPr>
                <w:rFonts w:ascii="Times New Roman" w:hAnsi="Times New Roman" w:eastAsia="仿宋_GB2312" w:cs="Times New Roman"/>
              </w:rPr>
            </w:pPr>
            <w:r>
              <w:rPr>
                <w:rFonts w:ascii="Times New Roman" w:hAnsi="Times New Roman" w:eastAsia="仿宋_GB2312" w:cs="Times New Roman"/>
              </w:rPr>
              <w:t>满意度指标</w:t>
            </w:r>
          </w:p>
        </w:tc>
        <w:tc>
          <w:tcPr>
            <w:tcW w:w="2293"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服务对象满意度指标</w:t>
            </w:r>
          </w:p>
        </w:tc>
        <w:tc>
          <w:tcPr>
            <w:tcW w:w="2100"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举报人满意</w:t>
            </w:r>
          </w:p>
        </w:tc>
        <w:tc>
          <w:tcPr>
            <w:tcW w:w="3083"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举报人满意</w:t>
            </w:r>
          </w:p>
        </w:tc>
        <w:tc>
          <w:tcPr>
            <w:tcW w:w="2672"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≥95%</w:t>
            </w:r>
          </w:p>
        </w:tc>
        <w:tc>
          <w:tcPr>
            <w:tcW w:w="215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调查问卷</w:t>
            </w:r>
          </w:p>
        </w:tc>
      </w:tr>
    </w:tbl>
    <w:p>
      <w:pPr>
        <w:ind w:firstLine="640" w:firstLineChars="200"/>
        <w:jc w:val="left"/>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7.安全生产执法队经费绩效目标表</w:t>
      </w:r>
    </w:p>
    <w:p>
      <w:pPr>
        <w:spacing w:line="14" w:lineRule="exact"/>
        <w:ind w:firstLine="420" w:firstLineChars="200"/>
        <w:jc w:val="center"/>
        <w:rPr>
          <w:rFonts w:ascii="Times New Roman" w:hAnsi="Times New Roman" w:eastAsia="仿宋_GB2312" w:cs="Times New Roman"/>
        </w:rPr>
      </w:pPr>
    </w:p>
    <w:tbl>
      <w:tblPr>
        <w:tblStyle w:val="9"/>
        <w:tblW w:w="1406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09"/>
        <w:gridCol w:w="2268"/>
        <w:gridCol w:w="1985"/>
        <w:gridCol w:w="3402"/>
        <w:gridCol w:w="1604"/>
        <w:gridCol w:w="239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2409"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绩效目标</w:t>
            </w:r>
          </w:p>
        </w:tc>
        <w:tc>
          <w:tcPr>
            <w:tcW w:w="11653" w:type="dxa"/>
            <w:gridSpan w:val="5"/>
            <w:shd w:val="clear" w:color="auto" w:fill="auto"/>
            <w:vAlign w:val="center"/>
          </w:tcPr>
          <w:p>
            <w:pPr>
              <w:spacing w:line="300" w:lineRule="exact"/>
              <w:rPr>
                <w:rFonts w:ascii="Times New Roman" w:hAnsi="Times New Roman" w:eastAsia="仿宋_GB2312" w:cs="Times New Roman"/>
                <w:b/>
              </w:rPr>
            </w:pPr>
            <w:r>
              <w:rPr>
                <w:rFonts w:hint="eastAsia" w:ascii="仿宋_GB2312" w:hAnsi="仿宋_GB2312" w:eastAsia="仿宋_GB2312" w:cs="仿宋_GB2312"/>
              </w:rPr>
              <w:t>1.通过辅助执法达到有效防范安全生产事故的发生，确保安全生产持续稳定的绩效目标。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2409"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一级指标</w:t>
            </w:r>
          </w:p>
        </w:tc>
        <w:tc>
          <w:tcPr>
            <w:tcW w:w="2268"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二级指标</w:t>
            </w:r>
          </w:p>
        </w:tc>
        <w:tc>
          <w:tcPr>
            <w:tcW w:w="1985"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三级指标</w:t>
            </w:r>
          </w:p>
        </w:tc>
        <w:tc>
          <w:tcPr>
            <w:tcW w:w="3402"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绩效指标描述</w:t>
            </w:r>
          </w:p>
        </w:tc>
        <w:tc>
          <w:tcPr>
            <w:tcW w:w="1604"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指标值</w:t>
            </w:r>
          </w:p>
        </w:tc>
        <w:tc>
          <w:tcPr>
            <w:tcW w:w="2394"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restart"/>
            <w:shd w:val="clear" w:color="auto" w:fill="auto"/>
            <w:vAlign w:val="center"/>
          </w:tcPr>
          <w:p>
            <w:pPr>
              <w:spacing w:line="300" w:lineRule="exact"/>
              <w:jc w:val="center"/>
              <w:rPr>
                <w:rFonts w:ascii="Times New Roman" w:hAnsi="Times New Roman" w:eastAsia="仿宋_GB2312" w:cs="Times New Roman"/>
              </w:rPr>
            </w:pPr>
            <w:r>
              <w:rPr>
                <w:rFonts w:ascii="Times New Roman" w:hAnsi="Times New Roman" w:eastAsia="仿宋_GB2312" w:cs="Times New Roman"/>
              </w:rPr>
              <w:t>产出指标</w:t>
            </w:r>
          </w:p>
        </w:tc>
        <w:tc>
          <w:tcPr>
            <w:tcW w:w="2268"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数量指标</w:t>
            </w:r>
          </w:p>
        </w:tc>
        <w:tc>
          <w:tcPr>
            <w:tcW w:w="198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劳务派遣人数</w:t>
            </w:r>
          </w:p>
        </w:tc>
        <w:tc>
          <w:tcPr>
            <w:tcW w:w="3402"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劳务派遣人数</w:t>
            </w:r>
          </w:p>
        </w:tc>
        <w:tc>
          <w:tcPr>
            <w:tcW w:w="1604"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25人</w:t>
            </w:r>
          </w:p>
        </w:tc>
        <w:tc>
          <w:tcPr>
            <w:tcW w:w="2394"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《廊坊市机构编制委员会办公室关于市安全生产监督管理局增加社会化用工的批复》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tc>
        <w:tc>
          <w:tcPr>
            <w:tcW w:w="2268"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质量指标</w:t>
            </w:r>
          </w:p>
        </w:tc>
        <w:tc>
          <w:tcPr>
            <w:tcW w:w="198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对劳务派遣人员考核合格率</w:t>
            </w:r>
          </w:p>
        </w:tc>
        <w:tc>
          <w:tcPr>
            <w:tcW w:w="3402"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按规定对劳务派遣人员进行定期考核</w:t>
            </w:r>
          </w:p>
        </w:tc>
        <w:tc>
          <w:tcPr>
            <w:tcW w:w="1604"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≥95%</w:t>
            </w:r>
          </w:p>
        </w:tc>
        <w:tc>
          <w:tcPr>
            <w:tcW w:w="2394"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《廊坊市机构编制委员会办公室关于市安全生产监督管理局增加社会化用工的批复》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tc>
        <w:tc>
          <w:tcPr>
            <w:tcW w:w="2268"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时效指标</w:t>
            </w:r>
          </w:p>
        </w:tc>
        <w:tc>
          <w:tcPr>
            <w:tcW w:w="198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基本工资及保险保障率</w:t>
            </w:r>
          </w:p>
        </w:tc>
        <w:tc>
          <w:tcPr>
            <w:tcW w:w="3402"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基本工资及保险按下发薪按时按月发放到位</w:t>
            </w:r>
          </w:p>
        </w:tc>
        <w:tc>
          <w:tcPr>
            <w:tcW w:w="1604"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100%</w:t>
            </w:r>
          </w:p>
        </w:tc>
        <w:tc>
          <w:tcPr>
            <w:tcW w:w="2394"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《廊坊市机构编制委员会办公室关于市安全生产监督管理局增加社会化用工的批复》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tc>
        <w:tc>
          <w:tcPr>
            <w:tcW w:w="2268"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成本指标</w:t>
            </w:r>
          </w:p>
        </w:tc>
        <w:tc>
          <w:tcPr>
            <w:tcW w:w="198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劳务派遣人员劳务费</w:t>
            </w:r>
          </w:p>
        </w:tc>
        <w:tc>
          <w:tcPr>
            <w:tcW w:w="3402"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4500元/人/月*12个月*25人=135万元</w:t>
            </w:r>
          </w:p>
        </w:tc>
        <w:tc>
          <w:tcPr>
            <w:tcW w:w="1604"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≤135万元</w:t>
            </w:r>
          </w:p>
        </w:tc>
        <w:tc>
          <w:tcPr>
            <w:tcW w:w="2394"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《廊坊市机构编制委员会办公室关于市安全生产监督管理局增加社会化用工的批复》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shd w:val="clear" w:color="auto" w:fill="auto"/>
            <w:vAlign w:val="center"/>
          </w:tcPr>
          <w:p>
            <w:pPr>
              <w:spacing w:line="300" w:lineRule="exact"/>
              <w:jc w:val="center"/>
              <w:rPr>
                <w:rFonts w:ascii="Times New Roman" w:hAnsi="Times New Roman" w:eastAsia="仿宋_GB2312" w:cs="Times New Roman"/>
              </w:rPr>
            </w:pPr>
            <w:r>
              <w:rPr>
                <w:rFonts w:ascii="Times New Roman" w:hAnsi="Times New Roman" w:eastAsia="仿宋_GB2312" w:cs="Times New Roman"/>
              </w:rPr>
              <w:t>效果指标</w:t>
            </w:r>
          </w:p>
        </w:tc>
        <w:tc>
          <w:tcPr>
            <w:tcW w:w="2268"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社会效益指标</w:t>
            </w:r>
          </w:p>
        </w:tc>
        <w:tc>
          <w:tcPr>
            <w:tcW w:w="198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提高执法监察力度</w:t>
            </w:r>
          </w:p>
        </w:tc>
        <w:tc>
          <w:tcPr>
            <w:tcW w:w="3402"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提高执法监察力度</w:t>
            </w:r>
          </w:p>
        </w:tc>
        <w:tc>
          <w:tcPr>
            <w:tcW w:w="1604"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提高</w:t>
            </w:r>
          </w:p>
        </w:tc>
        <w:tc>
          <w:tcPr>
            <w:tcW w:w="2394"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《廊坊市机构编制委员会办公室关于市安全生产监督管理局增加社会化用工的批复》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shd w:val="clear" w:color="auto" w:fill="auto"/>
            <w:vAlign w:val="center"/>
          </w:tcPr>
          <w:p>
            <w:pPr>
              <w:spacing w:line="300" w:lineRule="exact"/>
              <w:jc w:val="center"/>
              <w:rPr>
                <w:rFonts w:ascii="Times New Roman" w:hAnsi="Times New Roman" w:eastAsia="仿宋_GB2312" w:cs="Times New Roman"/>
              </w:rPr>
            </w:pPr>
            <w:r>
              <w:rPr>
                <w:rFonts w:ascii="Times New Roman" w:hAnsi="Times New Roman" w:eastAsia="仿宋_GB2312" w:cs="Times New Roman"/>
              </w:rPr>
              <w:t>满意度指标</w:t>
            </w:r>
          </w:p>
        </w:tc>
        <w:tc>
          <w:tcPr>
            <w:tcW w:w="2268"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服务对象满意度指标</w:t>
            </w:r>
          </w:p>
        </w:tc>
        <w:tc>
          <w:tcPr>
            <w:tcW w:w="198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派遣单位满意度</w:t>
            </w:r>
          </w:p>
        </w:tc>
        <w:tc>
          <w:tcPr>
            <w:tcW w:w="3402"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派遣单位满意度</w:t>
            </w:r>
          </w:p>
        </w:tc>
        <w:tc>
          <w:tcPr>
            <w:tcW w:w="1604"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≥95%</w:t>
            </w:r>
          </w:p>
        </w:tc>
        <w:tc>
          <w:tcPr>
            <w:tcW w:w="2394"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问卷调查</w:t>
            </w:r>
          </w:p>
        </w:tc>
      </w:tr>
    </w:tbl>
    <w:p>
      <w:pPr>
        <w:ind w:firstLine="640" w:firstLineChars="200"/>
        <w:jc w:val="left"/>
        <w:outlineLvl w:val="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8.安全生产重特大事故救援演练专项经费绩效目标表</w:t>
      </w:r>
    </w:p>
    <w:p>
      <w:pPr>
        <w:spacing w:line="14" w:lineRule="exact"/>
        <w:ind w:firstLine="420" w:firstLineChars="200"/>
        <w:jc w:val="center"/>
        <w:rPr>
          <w:rFonts w:ascii="Times New Roman" w:hAnsi="Times New Roman" w:eastAsia="仿宋_GB2312" w:cs="Times New Roman"/>
        </w:rPr>
      </w:pPr>
    </w:p>
    <w:tbl>
      <w:tblPr>
        <w:tblStyle w:val="9"/>
        <w:tblW w:w="1406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09"/>
        <w:gridCol w:w="2268"/>
        <w:gridCol w:w="1985"/>
        <w:gridCol w:w="3402"/>
        <w:gridCol w:w="1843"/>
        <w:gridCol w:w="215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2409"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绩效目标</w:t>
            </w:r>
          </w:p>
        </w:tc>
        <w:tc>
          <w:tcPr>
            <w:tcW w:w="11653" w:type="dxa"/>
            <w:gridSpan w:val="5"/>
            <w:shd w:val="clear" w:color="auto" w:fill="auto"/>
            <w:vAlign w:val="center"/>
          </w:tcPr>
          <w:p>
            <w:pPr>
              <w:spacing w:line="300" w:lineRule="exact"/>
              <w:rPr>
                <w:rFonts w:ascii="Times New Roman" w:hAnsi="Times New Roman" w:eastAsia="仿宋_GB2312" w:cs="Times New Roman"/>
                <w:b/>
              </w:rPr>
            </w:pPr>
            <w:r>
              <w:rPr>
                <w:rFonts w:hint="eastAsia" w:ascii="仿宋_GB2312" w:hAnsi="仿宋_GB2312" w:eastAsia="仿宋_GB2312" w:cs="仿宋_GB2312"/>
                <w:kern w:val="2"/>
                <w:sz w:val="21"/>
                <w:szCs w:val="22"/>
                <w:lang w:val="en-US" w:eastAsia="zh-CN" w:bidi="ar-SA"/>
              </w:rPr>
              <w:t>1.通过项目的开展完成锻炼应急救援队伍，实现应急处置能力的提升。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2409"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一级指标</w:t>
            </w:r>
          </w:p>
        </w:tc>
        <w:tc>
          <w:tcPr>
            <w:tcW w:w="2268"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二级指标</w:t>
            </w:r>
          </w:p>
        </w:tc>
        <w:tc>
          <w:tcPr>
            <w:tcW w:w="1985"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三级指标</w:t>
            </w:r>
          </w:p>
        </w:tc>
        <w:tc>
          <w:tcPr>
            <w:tcW w:w="3402"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绩效指标描述</w:t>
            </w:r>
          </w:p>
        </w:tc>
        <w:tc>
          <w:tcPr>
            <w:tcW w:w="1843"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指标值</w:t>
            </w:r>
          </w:p>
        </w:tc>
        <w:tc>
          <w:tcPr>
            <w:tcW w:w="2155"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restart"/>
            <w:shd w:val="clear" w:color="auto" w:fill="auto"/>
            <w:vAlign w:val="center"/>
          </w:tcPr>
          <w:p>
            <w:pPr>
              <w:spacing w:line="300" w:lineRule="exact"/>
              <w:jc w:val="center"/>
              <w:rPr>
                <w:rFonts w:ascii="Times New Roman" w:hAnsi="Times New Roman" w:eastAsia="仿宋_GB2312" w:cs="Times New Roman"/>
              </w:rPr>
            </w:pPr>
            <w:r>
              <w:rPr>
                <w:rFonts w:ascii="Times New Roman" w:hAnsi="Times New Roman" w:eastAsia="仿宋_GB2312" w:cs="Times New Roman"/>
              </w:rPr>
              <w:t>产出指标</w:t>
            </w:r>
          </w:p>
        </w:tc>
        <w:tc>
          <w:tcPr>
            <w:tcW w:w="2268"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数量指标</w:t>
            </w:r>
          </w:p>
        </w:tc>
        <w:tc>
          <w:tcPr>
            <w:tcW w:w="198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演练次数　</w:t>
            </w:r>
          </w:p>
        </w:tc>
        <w:tc>
          <w:tcPr>
            <w:tcW w:w="3402"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演练次数</w:t>
            </w:r>
          </w:p>
        </w:tc>
        <w:tc>
          <w:tcPr>
            <w:tcW w:w="1843"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1次</w:t>
            </w:r>
          </w:p>
        </w:tc>
        <w:tc>
          <w:tcPr>
            <w:tcW w:w="215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《生产安全事故应急预案管理办法》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tc>
        <w:tc>
          <w:tcPr>
            <w:tcW w:w="2268"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质量指标</w:t>
            </w:r>
          </w:p>
        </w:tc>
        <w:tc>
          <w:tcPr>
            <w:tcW w:w="198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演练规范程度　</w:t>
            </w:r>
          </w:p>
        </w:tc>
        <w:tc>
          <w:tcPr>
            <w:tcW w:w="3402"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演练流程规范率</w:t>
            </w:r>
          </w:p>
        </w:tc>
        <w:tc>
          <w:tcPr>
            <w:tcW w:w="1843"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100%　</w:t>
            </w:r>
          </w:p>
        </w:tc>
        <w:tc>
          <w:tcPr>
            <w:tcW w:w="215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《生产安全事故应急预案管理办法》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tc>
        <w:tc>
          <w:tcPr>
            <w:tcW w:w="2268"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时效指标</w:t>
            </w:r>
          </w:p>
        </w:tc>
        <w:tc>
          <w:tcPr>
            <w:tcW w:w="198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完成时间</w:t>
            </w:r>
          </w:p>
        </w:tc>
        <w:tc>
          <w:tcPr>
            <w:tcW w:w="3402"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按时完成率（12月底前完成）</w:t>
            </w:r>
          </w:p>
        </w:tc>
        <w:tc>
          <w:tcPr>
            <w:tcW w:w="1843"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100%　</w:t>
            </w:r>
          </w:p>
        </w:tc>
        <w:tc>
          <w:tcPr>
            <w:tcW w:w="215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《生产安全事故应急预案管理办法》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tc>
        <w:tc>
          <w:tcPr>
            <w:tcW w:w="2268"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成本指标</w:t>
            </w:r>
          </w:p>
        </w:tc>
        <w:tc>
          <w:tcPr>
            <w:tcW w:w="198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支出费用　</w:t>
            </w:r>
          </w:p>
        </w:tc>
        <w:tc>
          <w:tcPr>
            <w:tcW w:w="3402"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总成本不超过30万元</w:t>
            </w:r>
          </w:p>
        </w:tc>
        <w:tc>
          <w:tcPr>
            <w:tcW w:w="1843"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≤30万元　</w:t>
            </w:r>
          </w:p>
        </w:tc>
        <w:tc>
          <w:tcPr>
            <w:tcW w:w="215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《廊坊市应急管理局财务管理办法》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restart"/>
            <w:shd w:val="clear" w:color="auto" w:fill="auto"/>
            <w:vAlign w:val="center"/>
          </w:tcPr>
          <w:p>
            <w:pPr>
              <w:spacing w:line="300" w:lineRule="exact"/>
              <w:jc w:val="center"/>
              <w:rPr>
                <w:rFonts w:ascii="Times New Roman" w:hAnsi="Times New Roman" w:eastAsia="仿宋_GB2312" w:cs="Times New Roman"/>
              </w:rPr>
            </w:pPr>
            <w:r>
              <w:rPr>
                <w:rFonts w:ascii="Times New Roman" w:hAnsi="Times New Roman" w:eastAsia="仿宋_GB2312" w:cs="Times New Roman"/>
              </w:rPr>
              <w:t>效果指标</w:t>
            </w:r>
          </w:p>
        </w:tc>
        <w:tc>
          <w:tcPr>
            <w:tcW w:w="2268"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社会效益指标</w:t>
            </w:r>
          </w:p>
        </w:tc>
        <w:tc>
          <w:tcPr>
            <w:tcW w:w="198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达到预期效果</w:t>
            </w:r>
          </w:p>
        </w:tc>
        <w:tc>
          <w:tcPr>
            <w:tcW w:w="3402"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实际效果与预期效果比值</w:t>
            </w:r>
          </w:p>
        </w:tc>
        <w:tc>
          <w:tcPr>
            <w:tcW w:w="1843"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≥100%　</w:t>
            </w:r>
          </w:p>
        </w:tc>
        <w:tc>
          <w:tcPr>
            <w:tcW w:w="215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《生产安全事故应急预案管理办法》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tc>
        <w:tc>
          <w:tcPr>
            <w:tcW w:w="2268"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生态效益指标</w:t>
            </w:r>
          </w:p>
        </w:tc>
        <w:tc>
          <w:tcPr>
            <w:tcW w:w="198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对环境不造成污染　</w:t>
            </w:r>
          </w:p>
        </w:tc>
        <w:tc>
          <w:tcPr>
            <w:tcW w:w="3402"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环境污染项</w:t>
            </w:r>
          </w:p>
        </w:tc>
        <w:tc>
          <w:tcPr>
            <w:tcW w:w="1843"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无污染项</w:t>
            </w:r>
          </w:p>
        </w:tc>
        <w:tc>
          <w:tcPr>
            <w:tcW w:w="215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《中华人民共和国环境保护法》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tc>
        <w:tc>
          <w:tcPr>
            <w:tcW w:w="2268"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可持续影响指标</w:t>
            </w:r>
          </w:p>
        </w:tc>
        <w:tc>
          <w:tcPr>
            <w:tcW w:w="198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提高应急处置能力</w:t>
            </w:r>
          </w:p>
        </w:tc>
        <w:tc>
          <w:tcPr>
            <w:tcW w:w="3402"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突发事件应急处置完成率</w:t>
            </w:r>
          </w:p>
        </w:tc>
        <w:tc>
          <w:tcPr>
            <w:tcW w:w="1843"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100%</w:t>
            </w:r>
          </w:p>
        </w:tc>
        <w:tc>
          <w:tcPr>
            <w:tcW w:w="215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《生产安全事故应急预案管理办法》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shd w:val="clear" w:color="auto" w:fill="auto"/>
            <w:vAlign w:val="center"/>
          </w:tcPr>
          <w:p>
            <w:pPr>
              <w:spacing w:line="300" w:lineRule="exact"/>
              <w:jc w:val="center"/>
              <w:rPr>
                <w:rFonts w:ascii="Times New Roman" w:hAnsi="Times New Roman" w:eastAsia="仿宋_GB2312" w:cs="Times New Roman"/>
              </w:rPr>
            </w:pPr>
            <w:r>
              <w:rPr>
                <w:rFonts w:ascii="Times New Roman" w:hAnsi="Times New Roman" w:eastAsia="仿宋_GB2312" w:cs="Times New Roman"/>
              </w:rPr>
              <w:t>满意度指标</w:t>
            </w:r>
          </w:p>
        </w:tc>
        <w:tc>
          <w:tcPr>
            <w:tcW w:w="2268"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服务对象满意度指标</w:t>
            </w:r>
          </w:p>
        </w:tc>
        <w:tc>
          <w:tcPr>
            <w:tcW w:w="198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参演人员认可程度</w:t>
            </w:r>
          </w:p>
        </w:tc>
        <w:tc>
          <w:tcPr>
            <w:tcW w:w="3402"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参演人员满意率　</w:t>
            </w:r>
          </w:p>
        </w:tc>
        <w:tc>
          <w:tcPr>
            <w:tcW w:w="1843"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100%</w:t>
            </w:r>
          </w:p>
        </w:tc>
        <w:tc>
          <w:tcPr>
            <w:tcW w:w="215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问卷调查</w:t>
            </w:r>
          </w:p>
        </w:tc>
      </w:tr>
    </w:tbl>
    <w:p>
      <w:pPr>
        <w:ind w:firstLine="560" w:firstLineChars="200"/>
        <w:jc w:val="left"/>
        <w:outlineLvl w:val="1"/>
        <w:rPr>
          <w:rFonts w:ascii="Times New Roman" w:hAnsi="Times New Roman" w:eastAsia="仿宋_GB2312" w:cs="Times New Roman"/>
          <w:sz w:val="28"/>
        </w:rPr>
      </w:pPr>
    </w:p>
    <w:p>
      <w:pPr>
        <w:ind w:firstLine="560" w:firstLineChars="200"/>
        <w:jc w:val="left"/>
        <w:outlineLvl w:val="1"/>
        <w:rPr>
          <w:rFonts w:ascii="Times New Roman" w:hAnsi="Times New Roman" w:eastAsia="仿宋_GB2312" w:cs="Times New Roman"/>
          <w:sz w:val="28"/>
        </w:rPr>
      </w:pPr>
    </w:p>
    <w:p>
      <w:pPr>
        <w:ind w:firstLine="560" w:firstLineChars="200"/>
        <w:jc w:val="left"/>
        <w:outlineLvl w:val="1"/>
        <w:rPr>
          <w:rFonts w:ascii="Times New Roman" w:hAnsi="Times New Roman" w:eastAsia="仿宋_GB2312" w:cs="Times New Roman"/>
          <w:sz w:val="28"/>
        </w:rPr>
      </w:pPr>
    </w:p>
    <w:p>
      <w:pPr>
        <w:ind w:firstLine="640" w:firstLineChars="200"/>
        <w:jc w:val="left"/>
        <w:outlineLvl w:val="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9.安全生产专项整治三年行动专项资金绩效目标表</w:t>
      </w:r>
    </w:p>
    <w:p>
      <w:pPr>
        <w:spacing w:line="14" w:lineRule="exact"/>
        <w:ind w:firstLine="420" w:firstLineChars="200"/>
        <w:jc w:val="center"/>
        <w:rPr>
          <w:rFonts w:ascii="Times New Roman" w:hAnsi="Times New Roman" w:eastAsia="仿宋_GB2312" w:cs="Times New Roman"/>
        </w:rPr>
      </w:pPr>
    </w:p>
    <w:tbl>
      <w:tblPr>
        <w:tblStyle w:val="9"/>
        <w:tblW w:w="1406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88"/>
        <w:gridCol w:w="2220"/>
        <w:gridCol w:w="3810"/>
        <w:gridCol w:w="3765"/>
        <w:gridCol w:w="1170"/>
        <w:gridCol w:w="180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88"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绩效目标</w:t>
            </w:r>
          </w:p>
        </w:tc>
        <w:tc>
          <w:tcPr>
            <w:tcW w:w="12774" w:type="dxa"/>
            <w:gridSpan w:val="5"/>
            <w:shd w:val="clear" w:color="auto" w:fill="auto"/>
            <w:vAlign w:val="center"/>
          </w:tcPr>
          <w:p>
            <w:pPr>
              <w:spacing w:line="300" w:lineRule="exact"/>
              <w:rPr>
                <w:rFonts w:ascii="Times New Roman" w:hAnsi="Times New Roman" w:eastAsia="仿宋_GB2312" w:cs="Times New Roman"/>
                <w:b/>
              </w:rPr>
            </w:pPr>
            <w:r>
              <w:rPr>
                <w:rFonts w:hint="eastAsia" w:ascii="仿宋_GB2312" w:hAnsi="仿宋_GB2312" w:eastAsia="仿宋_GB2312" w:cs="仿宋_GB2312"/>
              </w:rPr>
              <w:t>1.开展安全生产专项整治三年行动“回头看”，对整治有遗漏、不到位的问题隐患和制度措施，立即采取补救措施，限期整改到位。深入分析安全生产共性问题和突出隐患，深挖背后的深层次矛盾和原因，完善各项规章制度，固化工作成果。按照省、市统一安排，结合工作实际，推广一批制度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88"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一级指标</w:t>
            </w:r>
          </w:p>
        </w:tc>
        <w:tc>
          <w:tcPr>
            <w:tcW w:w="2220"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二级指标</w:t>
            </w:r>
          </w:p>
        </w:tc>
        <w:tc>
          <w:tcPr>
            <w:tcW w:w="3810"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三级指标</w:t>
            </w:r>
          </w:p>
        </w:tc>
        <w:tc>
          <w:tcPr>
            <w:tcW w:w="3765"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绩效指标描述</w:t>
            </w:r>
          </w:p>
        </w:tc>
        <w:tc>
          <w:tcPr>
            <w:tcW w:w="1170"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指标值</w:t>
            </w:r>
          </w:p>
        </w:tc>
        <w:tc>
          <w:tcPr>
            <w:tcW w:w="1809"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288" w:type="dxa"/>
            <w:vMerge w:val="restart"/>
            <w:shd w:val="clear" w:color="auto" w:fill="auto"/>
            <w:vAlign w:val="center"/>
          </w:tcPr>
          <w:p>
            <w:pPr>
              <w:spacing w:line="300" w:lineRule="exact"/>
              <w:jc w:val="center"/>
              <w:rPr>
                <w:rFonts w:ascii="Times New Roman" w:hAnsi="Times New Roman" w:eastAsia="仿宋_GB2312" w:cs="Times New Roman"/>
              </w:rPr>
            </w:pPr>
            <w:r>
              <w:rPr>
                <w:rFonts w:ascii="Times New Roman" w:hAnsi="Times New Roman" w:eastAsia="仿宋_GB2312" w:cs="Times New Roman"/>
              </w:rPr>
              <w:t>产出指标</w:t>
            </w:r>
          </w:p>
        </w:tc>
        <w:tc>
          <w:tcPr>
            <w:tcW w:w="2220"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数量指标</w:t>
            </w:r>
          </w:p>
        </w:tc>
        <w:tc>
          <w:tcPr>
            <w:tcW w:w="3810"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组织13个行业领域主管单位开展安全生产专项整治三年行动。</w:t>
            </w:r>
          </w:p>
        </w:tc>
        <w:tc>
          <w:tcPr>
            <w:tcW w:w="376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指导、推动、督促全市安全生产专项整治三年行动重大政策措施、重点工作任务落地落实。</w:t>
            </w:r>
          </w:p>
        </w:tc>
        <w:tc>
          <w:tcPr>
            <w:tcW w:w="1170"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13个</w:t>
            </w:r>
          </w:p>
        </w:tc>
        <w:tc>
          <w:tcPr>
            <w:tcW w:w="1809"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廊坊市安全生产专项整治三年行动工作方案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288" w:type="dxa"/>
            <w:vMerge w:val="continue"/>
            <w:shd w:val="clear" w:color="auto" w:fill="auto"/>
            <w:vAlign w:val="center"/>
          </w:tcPr>
          <w:p/>
        </w:tc>
        <w:tc>
          <w:tcPr>
            <w:tcW w:w="2220"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质量指标</w:t>
            </w:r>
          </w:p>
        </w:tc>
        <w:tc>
          <w:tcPr>
            <w:tcW w:w="3810"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深入分析安全生产共性问题和突出隐患，完善各项规章制度，固化工作成果并结合工作实际推广一批制度成果。</w:t>
            </w:r>
          </w:p>
        </w:tc>
        <w:tc>
          <w:tcPr>
            <w:tcW w:w="376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进一步推动落实党委政府领导责任、单位监管责任和企业主体责任，扎实推进安全生产治理体系和治理能力现代化，实现事故起数和死亡人数“双下降”。</w:t>
            </w:r>
          </w:p>
        </w:tc>
        <w:tc>
          <w:tcPr>
            <w:tcW w:w="1170"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100%</w:t>
            </w:r>
          </w:p>
        </w:tc>
        <w:tc>
          <w:tcPr>
            <w:tcW w:w="1809"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廊坊市安全生产专项整治三年行动工作方案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288" w:type="dxa"/>
            <w:vMerge w:val="continue"/>
            <w:shd w:val="clear" w:color="auto" w:fill="auto"/>
            <w:vAlign w:val="center"/>
          </w:tcPr>
          <w:p/>
        </w:tc>
        <w:tc>
          <w:tcPr>
            <w:tcW w:w="2220"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时效指标</w:t>
            </w:r>
          </w:p>
        </w:tc>
        <w:tc>
          <w:tcPr>
            <w:tcW w:w="3810"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按照工作方案时间节点要求，各阶段任务完成率</w:t>
            </w:r>
          </w:p>
        </w:tc>
        <w:tc>
          <w:tcPr>
            <w:tcW w:w="376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按照工作方案时间节点要求，各阶段任务完成率</w:t>
            </w:r>
          </w:p>
        </w:tc>
        <w:tc>
          <w:tcPr>
            <w:tcW w:w="1170"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100%</w:t>
            </w:r>
          </w:p>
        </w:tc>
        <w:tc>
          <w:tcPr>
            <w:tcW w:w="1809"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廊坊市安全生产专项整治三年行动工作方案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288" w:type="dxa"/>
            <w:vMerge w:val="continue"/>
            <w:shd w:val="clear" w:color="auto" w:fill="auto"/>
            <w:vAlign w:val="center"/>
          </w:tcPr>
          <w:p/>
        </w:tc>
        <w:tc>
          <w:tcPr>
            <w:tcW w:w="2220"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成本指标</w:t>
            </w:r>
          </w:p>
        </w:tc>
        <w:tc>
          <w:tcPr>
            <w:tcW w:w="3810"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成本支出</w:t>
            </w:r>
          </w:p>
        </w:tc>
        <w:tc>
          <w:tcPr>
            <w:tcW w:w="376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不得超过预算数</w:t>
            </w:r>
          </w:p>
        </w:tc>
        <w:tc>
          <w:tcPr>
            <w:tcW w:w="1170"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≤31万元</w:t>
            </w:r>
          </w:p>
        </w:tc>
        <w:tc>
          <w:tcPr>
            <w:tcW w:w="1809"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廊坊市安全生产专项整治三年行动工作方案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288" w:type="dxa"/>
            <w:vMerge w:val="restart"/>
            <w:shd w:val="clear" w:color="auto" w:fill="auto"/>
            <w:vAlign w:val="center"/>
          </w:tcPr>
          <w:p>
            <w:pPr>
              <w:spacing w:line="300" w:lineRule="exact"/>
              <w:jc w:val="center"/>
              <w:rPr>
                <w:rFonts w:ascii="Times New Roman" w:hAnsi="Times New Roman" w:eastAsia="仿宋_GB2312" w:cs="Times New Roman"/>
              </w:rPr>
            </w:pPr>
            <w:r>
              <w:rPr>
                <w:rFonts w:ascii="Times New Roman" w:hAnsi="Times New Roman" w:eastAsia="仿宋_GB2312" w:cs="Times New Roman"/>
              </w:rPr>
              <w:t>效果指标</w:t>
            </w:r>
          </w:p>
        </w:tc>
        <w:tc>
          <w:tcPr>
            <w:tcW w:w="2220"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社会效益指标</w:t>
            </w:r>
          </w:p>
        </w:tc>
        <w:tc>
          <w:tcPr>
            <w:tcW w:w="3810"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各生产经营单位安全生产工作制度健全完善，岗位工作人员安全意识提升，安全生产隐患及时发现及时整改，减少生产安全事故起数。</w:t>
            </w:r>
          </w:p>
        </w:tc>
        <w:tc>
          <w:tcPr>
            <w:tcW w:w="376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各生产经营单位安全生产工作制度健全完善，岗位工作人员安全意识提升，安全生产隐患及时发现及时整改，减少生产安全事故起数。</w:t>
            </w:r>
          </w:p>
        </w:tc>
        <w:tc>
          <w:tcPr>
            <w:tcW w:w="1170"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100%</w:t>
            </w:r>
          </w:p>
        </w:tc>
        <w:tc>
          <w:tcPr>
            <w:tcW w:w="1809"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廊坊市安全生产专项整治三年行动工作方案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288" w:type="dxa"/>
            <w:vMerge w:val="continue"/>
            <w:shd w:val="clear" w:color="auto" w:fill="auto"/>
            <w:vAlign w:val="center"/>
          </w:tcPr>
          <w:p/>
        </w:tc>
        <w:tc>
          <w:tcPr>
            <w:tcW w:w="2220"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可持续影响指标</w:t>
            </w:r>
          </w:p>
        </w:tc>
        <w:tc>
          <w:tcPr>
            <w:tcW w:w="3810"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推动各级各单位各单位深入分析安全生产共性问题和突出隐患，深挖背后的深层次矛盾和原因，完善各项规章制度，固化工作成果。</w:t>
            </w:r>
          </w:p>
        </w:tc>
        <w:tc>
          <w:tcPr>
            <w:tcW w:w="376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推动各级各单位各单位深入分析安全生产共性问题和突出隐患，深挖背后的深层次矛盾和原因，完善各项规章制度，固化工作成果。</w:t>
            </w:r>
          </w:p>
        </w:tc>
        <w:tc>
          <w:tcPr>
            <w:tcW w:w="1170"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100%</w:t>
            </w:r>
          </w:p>
        </w:tc>
        <w:tc>
          <w:tcPr>
            <w:tcW w:w="1809"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廊坊市安全生产专项整治三年行动工作方案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288" w:type="dxa"/>
            <w:shd w:val="clear" w:color="auto" w:fill="auto"/>
            <w:vAlign w:val="center"/>
          </w:tcPr>
          <w:p>
            <w:pPr>
              <w:spacing w:line="300" w:lineRule="exact"/>
              <w:jc w:val="center"/>
              <w:rPr>
                <w:rFonts w:ascii="Times New Roman" w:hAnsi="Times New Roman" w:eastAsia="仿宋_GB2312" w:cs="Times New Roman"/>
              </w:rPr>
            </w:pPr>
            <w:r>
              <w:rPr>
                <w:rFonts w:ascii="Times New Roman" w:hAnsi="Times New Roman" w:eastAsia="仿宋_GB2312" w:cs="Times New Roman"/>
              </w:rPr>
              <w:t>满意度指标</w:t>
            </w:r>
          </w:p>
        </w:tc>
        <w:tc>
          <w:tcPr>
            <w:tcW w:w="2220"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服务对象满意度指标</w:t>
            </w:r>
          </w:p>
        </w:tc>
        <w:tc>
          <w:tcPr>
            <w:tcW w:w="3810"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服务对象满意度</w:t>
            </w:r>
          </w:p>
        </w:tc>
        <w:tc>
          <w:tcPr>
            <w:tcW w:w="376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服务对象满意度　</w:t>
            </w:r>
          </w:p>
        </w:tc>
        <w:tc>
          <w:tcPr>
            <w:tcW w:w="1170"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≥90%</w:t>
            </w:r>
          </w:p>
        </w:tc>
        <w:tc>
          <w:tcPr>
            <w:tcW w:w="1809"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问卷调查</w:t>
            </w:r>
          </w:p>
        </w:tc>
      </w:tr>
    </w:tbl>
    <w:p>
      <w:pPr>
        <w:ind w:firstLine="560" w:firstLineChars="200"/>
        <w:jc w:val="left"/>
        <w:outlineLvl w:val="1"/>
        <w:rPr>
          <w:rFonts w:ascii="Times New Roman" w:hAnsi="Times New Roman" w:eastAsia="仿宋_GB2312" w:cs="Times New Roman"/>
          <w:sz w:val="28"/>
        </w:rPr>
      </w:pPr>
    </w:p>
    <w:p>
      <w:pPr>
        <w:ind w:firstLine="560" w:firstLineChars="200"/>
        <w:jc w:val="left"/>
        <w:outlineLvl w:val="1"/>
        <w:rPr>
          <w:rFonts w:ascii="Times New Roman" w:hAnsi="Times New Roman" w:eastAsia="仿宋_GB2312" w:cs="Times New Roman"/>
          <w:sz w:val="28"/>
        </w:rPr>
      </w:pPr>
    </w:p>
    <w:p>
      <w:pPr>
        <w:ind w:firstLine="640" w:firstLineChars="200"/>
        <w:jc w:val="left"/>
        <w:outlineLvl w:val="1"/>
        <w:rPr>
          <w:rFonts w:hint="eastAsia" w:ascii="仿宋_GB2312" w:hAnsi="仿宋_GB2312" w:eastAsia="仿宋_GB2312" w:cs="仿宋_GB2312"/>
          <w:sz w:val="32"/>
          <w:szCs w:val="32"/>
          <w:lang w:val="en-US" w:eastAsia="zh-CN"/>
        </w:rPr>
      </w:pPr>
    </w:p>
    <w:p>
      <w:pPr>
        <w:ind w:firstLine="640" w:firstLineChars="200"/>
        <w:jc w:val="left"/>
        <w:outlineLvl w:val="1"/>
        <w:rPr>
          <w:rFonts w:hint="eastAsia" w:ascii="仿宋_GB2312" w:hAnsi="仿宋_GB2312" w:eastAsia="仿宋_GB2312" w:cs="仿宋_GB2312"/>
          <w:sz w:val="32"/>
          <w:szCs w:val="32"/>
          <w:lang w:val="en-US" w:eastAsia="zh-CN"/>
        </w:rPr>
      </w:pPr>
    </w:p>
    <w:p>
      <w:pPr>
        <w:ind w:firstLine="640" w:firstLineChars="200"/>
        <w:jc w:val="left"/>
        <w:outlineLvl w:val="1"/>
        <w:rPr>
          <w:rFonts w:hint="eastAsia" w:ascii="仿宋_GB2312" w:hAnsi="仿宋_GB2312" w:eastAsia="仿宋_GB2312" w:cs="仿宋_GB2312"/>
          <w:sz w:val="32"/>
          <w:szCs w:val="32"/>
          <w:lang w:val="en-US" w:eastAsia="zh-CN"/>
        </w:rPr>
      </w:pPr>
    </w:p>
    <w:p>
      <w:pPr>
        <w:ind w:firstLine="640" w:firstLineChars="200"/>
        <w:jc w:val="left"/>
        <w:outlineLvl w:val="1"/>
        <w:rPr>
          <w:rFonts w:hint="eastAsia" w:ascii="仿宋_GB2312" w:hAnsi="仿宋_GB2312" w:eastAsia="仿宋_GB2312" w:cs="仿宋_GB2312"/>
          <w:sz w:val="32"/>
          <w:szCs w:val="32"/>
          <w:lang w:val="en-US" w:eastAsia="zh-CN"/>
        </w:rPr>
      </w:pPr>
    </w:p>
    <w:p>
      <w:pPr>
        <w:ind w:firstLine="640" w:firstLineChars="200"/>
        <w:jc w:val="left"/>
        <w:outlineLvl w:val="1"/>
        <w:rPr>
          <w:rFonts w:hint="eastAsia" w:ascii="仿宋_GB2312" w:hAnsi="仿宋_GB2312" w:eastAsia="仿宋_GB2312" w:cs="仿宋_GB2312"/>
          <w:sz w:val="32"/>
          <w:szCs w:val="32"/>
          <w:lang w:val="en-US" w:eastAsia="zh-CN"/>
        </w:rPr>
      </w:pPr>
    </w:p>
    <w:p>
      <w:pPr>
        <w:ind w:firstLine="640" w:firstLineChars="200"/>
        <w:jc w:val="left"/>
        <w:outlineLvl w:val="1"/>
        <w:rPr>
          <w:rFonts w:hint="eastAsia" w:ascii="仿宋_GB2312" w:hAnsi="仿宋_GB2312" w:eastAsia="仿宋_GB2312" w:cs="仿宋_GB2312"/>
          <w:sz w:val="32"/>
          <w:szCs w:val="32"/>
          <w:lang w:val="en-US" w:eastAsia="zh-CN"/>
        </w:rPr>
      </w:pPr>
    </w:p>
    <w:p>
      <w:pPr>
        <w:ind w:firstLine="640" w:firstLineChars="200"/>
        <w:jc w:val="left"/>
        <w:outlineLvl w:val="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10.办公场所搬迁专项经费绩效目标表</w:t>
      </w:r>
    </w:p>
    <w:p>
      <w:pPr>
        <w:spacing w:line="14" w:lineRule="exact"/>
        <w:ind w:firstLine="420" w:firstLineChars="200"/>
        <w:jc w:val="center"/>
        <w:rPr>
          <w:rFonts w:ascii="Times New Roman" w:hAnsi="Times New Roman" w:eastAsia="仿宋_GB2312" w:cs="Times New Roman"/>
        </w:rPr>
      </w:pPr>
    </w:p>
    <w:tbl>
      <w:tblPr>
        <w:tblStyle w:val="9"/>
        <w:tblW w:w="1406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09"/>
        <w:gridCol w:w="2268"/>
        <w:gridCol w:w="1985"/>
        <w:gridCol w:w="3402"/>
        <w:gridCol w:w="1843"/>
        <w:gridCol w:w="215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2409"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绩效目标</w:t>
            </w:r>
          </w:p>
        </w:tc>
        <w:tc>
          <w:tcPr>
            <w:tcW w:w="11653" w:type="dxa"/>
            <w:gridSpan w:val="5"/>
            <w:shd w:val="clear" w:color="auto" w:fill="auto"/>
            <w:vAlign w:val="center"/>
          </w:tcPr>
          <w:p>
            <w:pPr>
              <w:spacing w:line="300" w:lineRule="exact"/>
              <w:rPr>
                <w:rFonts w:ascii="Times New Roman" w:hAnsi="Times New Roman" w:eastAsia="仿宋_GB2312" w:cs="Times New Roman"/>
                <w:b/>
              </w:rPr>
            </w:pPr>
            <w:r>
              <w:rPr>
                <w:rFonts w:hint="eastAsia" w:ascii="仿宋_GB2312" w:hAnsi="仿宋_GB2312" w:eastAsia="仿宋_GB2312" w:cs="仿宋_GB2312"/>
              </w:rPr>
              <w:t>1.完成新办公场所的二次分割装修，满足办公需求。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2409"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一级指标</w:t>
            </w:r>
          </w:p>
        </w:tc>
        <w:tc>
          <w:tcPr>
            <w:tcW w:w="2268"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二级指标</w:t>
            </w:r>
          </w:p>
        </w:tc>
        <w:tc>
          <w:tcPr>
            <w:tcW w:w="1985"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三级指标</w:t>
            </w:r>
          </w:p>
        </w:tc>
        <w:tc>
          <w:tcPr>
            <w:tcW w:w="3402"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绩效指标描述</w:t>
            </w:r>
          </w:p>
        </w:tc>
        <w:tc>
          <w:tcPr>
            <w:tcW w:w="1843"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指标值</w:t>
            </w:r>
          </w:p>
        </w:tc>
        <w:tc>
          <w:tcPr>
            <w:tcW w:w="2155"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restart"/>
            <w:shd w:val="clear" w:color="auto" w:fill="auto"/>
            <w:vAlign w:val="center"/>
          </w:tcPr>
          <w:p>
            <w:pPr>
              <w:spacing w:line="300" w:lineRule="exact"/>
              <w:jc w:val="center"/>
              <w:rPr>
                <w:rFonts w:ascii="Times New Roman" w:hAnsi="Times New Roman" w:eastAsia="仿宋_GB2312" w:cs="Times New Roman"/>
              </w:rPr>
            </w:pPr>
            <w:r>
              <w:rPr>
                <w:rFonts w:ascii="Times New Roman" w:hAnsi="Times New Roman" w:eastAsia="仿宋_GB2312" w:cs="Times New Roman"/>
              </w:rPr>
              <w:t>产出指标</w:t>
            </w:r>
          </w:p>
        </w:tc>
        <w:tc>
          <w:tcPr>
            <w:tcW w:w="2268"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数量指标</w:t>
            </w:r>
          </w:p>
        </w:tc>
        <w:tc>
          <w:tcPr>
            <w:tcW w:w="198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56间房</w:t>
            </w:r>
          </w:p>
        </w:tc>
        <w:tc>
          <w:tcPr>
            <w:tcW w:w="3402"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56间房</w:t>
            </w:r>
          </w:p>
        </w:tc>
        <w:tc>
          <w:tcPr>
            <w:tcW w:w="1843"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56间</w:t>
            </w:r>
          </w:p>
        </w:tc>
        <w:tc>
          <w:tcPr>
            <w:tcW w:w="215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廊坊市应急管理局新址办公用房二次分隔工程装修项目方案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tc>
        <w:tc>
          <w:tcPr>
            <w:tcW w:w="2268"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质量指标</w:t>
            </w:r>
          </w:p>
        </w:tc>
        <w:tc>
          <w:tcPr>
            <w:tcW w:w="198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工程验收合格率</w:t>
            </w:r>
          </w:p>
        </w:tc>
        <w:tc>
          <w:tcPr>
            <w:tcW w:w="3402"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工程验收合格率</w:t>
            </w:r>
          </w:p>
        </w:tc>
        <w:tc>
          <w:tcPr>
            <w:tcW w:w="1843"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100%</w:t>
            </w:r>
          </w:p>
        </w:tc>
        <w:tc>
          <w:tcPr>
            <w:tcW w:w="215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廊坊市应急管理局新址办公用房二次分隔工程装修项目方案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tc>
        <w:tc>
          <w:tcPr>
            <w:tcW w:w="2268"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时效指标</w:t>
            </w:r>
          </w:p>
        </w:tc>
        <w:tc>
          <w:tcPr>
            <w:tcW w:w="198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搬迁工作完成及时性</w:t>
            </w:r>
          </w:p>
        </w:tc>
        <w:tc>
          <w:tcPr>
            <w:tcW w:w="3402"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2022年4月底完成</w:t>
            </w:r>
          </w:p>
        </w:tc>
        <w:tc>
          <w:tcPr>
            <w:tcW w:w="1843"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2022年4月底完成</w:t>
            </w:r>
          </w:p>
        </w:tc>
        <w:tc>
          <w:tcPr>
            <w:tcW w:w="215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廊坊市应急管理局新址办公用房二次分隔工程装修项目方案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tc>
        <w:tc>
          <w:tcPr>
            <w:tcW w:w="2268"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成本指标</w:t>
            </w:r>
          </w:p>
        </w:tc>
        <w:tc>
          <w:tcPr>
            <w:tcW w:w="198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每平方米装修成本</w:t>
            </w:r>
          </w:p>
        </w:tc>
        <w:tc>
          <w:tcPr>
            <w:tcW w:w="3402"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按照2232平方米×979元/平方米装修</w:t>
            </w:r>
          </w:p>
        </w:tc>
        <w:tc>
          <w:tcPr>
            <w:tcW w:w="1843"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≤979元/平方米</w:t>
            </w:r>
          </w:p>
        </w:tc>
        <w:tc>
          <w:tcPr>
            <w:tcW w:w="215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廊坊市应急管理局新址办公用房二次分隔工程装修项目方案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shd w:val="clear" w:color="auto" w:fill="auto"/>
            <w:vAlign w:val="center"/>
          </w:tcPr>
          <w:p>
            <w:pPr>
              <w:spacing w:line="300" w:lineRule="exact"/>
              <w:jc w:val="center"/>
              <w:rPr>
                <w:rFonts w:ascii="Times New Roman" w:hAnsi="Times New Roman" w:eastAsia="仿宋_GB2312" w:cs="Times New Roman"/>
              </w:rPr>
            </w:pPr>
            <w:r>
              <w:rPr>
                <w:rFonts w:ascii="Times New Roman" w:hAnsi="Times New Roman" w:eastAsia="仿宋_GB2312" w:cs="Times New Roman"/>
              </w:rPr>
              <w:t>效果指标</w:t>
            </w:r>
          </w:p>
        </w:tc>
        <w:tc>
          <w:tcPr>
            <w:tcW w:w="2268"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社会效益指标</w:t>
            </w:r>
          </w:p>
        </w:tc>
        <w:tc>
          <w:tcPr>
            <w:tcW w:w="198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完成新办公场所的二次分割装修，满足办公需求</w:t>
            </w:r>
          </w:p>
        </w:tc>
        <w:tc>
          <w:tcPr>
            <w:tcW w:w="3402"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完成新办公场所的二次分割装修，满足办公需求</w:t>
            </w:r>
          </w:p>
        </w:tc>
        <w:tc>
          <w:tcPr>
            <w:tcW w:w="1843"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满足</w:t>
            </w:r>
          </w:p>
        </w:tc>
        <w:tc>
          <w:tcPr>
            <w:tcW w:w="215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廊坊市应急管理局新址办公用房二次分隔工程装修项目方案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shd w:val="clear" w:color="auto" w:fill="auto"/>
            <w:vAlign w:val="center"/>
          </w:tcPr>
          <w:p>
            <w:pPr>
              <w:spacing w:line="300" w:lineRule="exact"/>
              <w:jc w:val="center"/>
              <w:rPr>
                <w:rFonts w:ascii="Times New Roman" w:hAnsi="Times New Roman" w:eastAsia="仿宋_GB2312" w:cs="Times New Roman"/>
              </w:rPr>
            </w:pPr>
            <w:r>
              <w:rPr>
                <w:rFonts w:ascii="Times New Roman" w:hAnsi="Times New Roman" w:eastAsia="仿宋_GB2312" w:cs="Times New Roman"/>
              </w:rPr>
              <w:t>满意度指标</w:t>
            </w:r>
          </w:p>
        </w:tc>
        <w:tc>
          <w:tcPr>
            <w:tcW w:w="2268"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服务对象满意度指标</w:t>
            </w:r>
          </w:p>
        </w:tc>
        <w:tc>
          <w:tcPr>
            <w:tcW w:w="198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用户满意度</w:t>
            </w:r>
          </w:p>
        </w:tc>
        <w:tc>
          <w:tcPr>
            <w:tcW w:w="3402"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用户满意度</w:t>
            </w:r>
          </w:p>
        </w:tc>
        <w:tc>
          <w:tcPr>
            <w:tcW w:w="1843"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≥95%</w:t>
            </w:r>
          </w:p>
        </w:tc>
        <w:tc>
          <w:tcPr>
            <w:tcW w:w="215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问卷调查</w:t>
            </w:r>
          </w:p>
        </w:tc>
      </w:tr>
    </w:tbl>
    <w:p>
      <w:pPr>
        <w:ind w:firstLine="560" w:firstLineChars="200"/>
        <w:jc w:val="left"/>
        <w:outlineLvl w:val="1"/>
        <w:rPr>
          <w:rFonts w:ascii="Times New Roman" w:hAnsi="Times New Roman" w:eastAsia="仿宋_GB2312" w:cs="Times New Roman"/>
          <w:sz w:val="28"/>
        </w:rPr>
      </w:pPr>
    </w:p>
    <w:p>
      <w:pPr>
        <w:ind w:firstLine="560" w:firstLineChars="200"/>
        <w:jc w:val="left"/>
        <w:outlineLvl w:val="1"/>
        <w:rPr>
          <w:rFonts w:ascii="Times New Roman" w:hAnsi="Times New Roman" w:eastAsia="仿宋_GB2312" w:cs="Times New Roman"/>
          <w:sz w:val="28"/>
        </w:rPr>
      </w:pPr>
    </w:p>
    <w:p>
      <w:pPr>
        <w:ind w:firstLine="640" w:firstLineChars="200"/>
        <w:jc w:val="left"/>
        <w:outlineLvl w:val="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11.地震灾害重点隐患调查和风险评估质量审核数据汇交专项资金绩效目标表</w:t>
      </w:r>
    </w:p>
    <w:p>
      <w:pPr>
        <w:spacing w:line="14" w:lineRule="exact"/>
        <w:ind w:firstLine="420" w:firstLineChars="200"/>
        <w:jc w:val="center"/>
        <w:rPr>
          <w:rFonts w:ascii="Times New Roman" w:hAnsi="Times New Roman" w:eastAsia="仿宋_GB2312" w:cs="Times New Roman"/>
        </w:rPr>
      </w:pPr>
    </w:p>
    <w:tbl>
      <w:tblPr>
        <w:tblStyle w:val="9"/>
        <w:tblW w:w="1406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93"/>
        <w:gridCol w:w="2295"/>
        <w:gridCol w:w="2235"/>
        <w:gridCol w:w="3841"/>
        <w:gridCol w:w="1619"/>
        <w:gridCol w:w="237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693"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绩效目标</w:t>
            </w:r>
          </w:p>
        </w:tc>
        <w:tc>
          <w:tcPr>
            <w:tcW w:w="12369" w:type="dxa"/>
            <w:gridSpan w:val="5"/>
            <w:shd w:val="clear" w:color="auto" w:fill="auto"/>
            <w:vAlign w:val="center"/>
          </w:tcPr>
          <w:p>
            <w:pPr>
              <w:spacing w:line="300" w:lineRule="exact"/>
              <w:rPr>
                <w:rFonts w:ascii="Times New Roman" w:hAnsi="Times New Roman" w:eastAsia="仿宋_GB2312" w:cs="Times New Roman"/>
                <w:b/>
              </w:rPr>
            </w:pPr>
            <w:r>
              <w:rPr>
                <w:rFonts w:hint="eastAsia" w:ascii="仿宋_GB2312" w:hAnsi="仿宋_GB2312" w:eastAsia="仿宋_GB2312" w:cs="仿宋_GB2312"/>
              </w:rPr>
              <w:t>1.完成对县级报送的地震灾害重点隐患调查和风险评估数据、各类工程结构的建造特点和结构特征数据进行质量控制和数据审核。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693"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一级指标</w:t>
            </w:r>
          </w:p>
        </w:tc>
        <w:tc>
          <w:tcPr>
            <w:tcW w:w="2295"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二级指标</w:t>
            </w:r>
          </w:p>
        </w:tc>
        <w:tc>
          <w:tcPr>
            <w:tcW w:w="2235"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三级指标</w:t>
            </w:r>
          </w:p>
        </w:tc>
        <w:tc>
          <w:tcPr>
            <w:tcW w:w="3841"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绩效指标描述</w:t>
            </w:r>
          </w:p>
        </w:tc>
        <w:tc>
          <w:tcPr>
            <w:tcW w:w="1619"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指标值</w:t>
            </w:r>
          </w:p>
        </w:tc>
        <w:tc>
          <w:tcPr>
            <w:tcW w:w="2379"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693" w:type="dxa"/>
            <w:vMerge w:val="restart"/>
            <w:shd w:val="clear" w:color="auto" w:fill="auto"/>
            <w:vAlign w:val="center"/>
          </w:tcPr>
          <w:p>
            <w:pPr>
              <w:spacing w:line="300" w:lineRule="exact"/>
              <w:jc w:val="center"/>
              <w:rPr>
                <w:rFonts w:ascii="Times New Roman" w:hAnsi="Times New Roman" w:eastAsia="仿宋_GB2312" w:cs="Times New Roman"/>
              </w:rPr>
            </w:pPr>
            <w:r>
              <w:rPr>
                <w:rFonts w:ascii="Times New Roman" w:hAnsi="Times New Roman" w:eastAsia="仿宋_GB2312" w:cs="Times New Roman"/>
              </w:rPr>
              <w:t>产出指标</w:t>
            </w:r>
          </w:p>
        </w:tc>
        <w:tc>
          <w:tcPr>
            <w:tcW w:w="229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数量指标</w:t>
            </w:r>
          </w:p>
        </w:tc>
        <w:tc>
          <w:tcPr>
            <w:tcW w:w="223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审核数据条数</w:t>
            </w:r>
          </w:p>
        </w:tc>
        <w:tc>
          <w:tcPr>
            <w:tcW w:w="3841"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审核数据条数</w:t>
            </w:r>
          </w:p>
        </w:tc>
        <w:tc>
          <w:tcPr>
            <w:tcW w:w="1619"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≥14万条</w:t>
            </w:r>
          </w:p>
        </w:tc>
        <w:tc>
          <w:tcPr>
            <w:tcW w:w="2379"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《地震灾害重点隐患排查技术与数据规范》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693" w:type="dxa"/>
            <w:vMerge w:val="continue"/>
            <w:shd w:val="clear" w:color="auto" w:fill="auto"/>
            <w:vAlign w:val="center"/>
          </w:tcPr>
          <w:p/>
        </w:tc>
        <w:tc>
          <w:tcPr>
            <w:tcW w:w="229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质量指标</w:t>
            </w:r>
          </w:p>
        </w:tc>
        <w:tc>
          <w:tcPr>
            <w:tcW w:w="223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通过省局数据审核</w:t>
            </w:r>
          </w:p>
        </w:tc>
        <w:tc>
          <w:tcPr>
            <w:tcW w:w="3841"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通过省局数据审核</w:t>
            </w:r>
          </w:p>
        </w:tc>
        <w:tc>
          <w:tcPr>
            <w:tcW w:w="1619"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100%</w:t>
            </w:r>
          </w:p>
        </w:tc>
        <w:tc>
          <w:tcPr>
            <w:tcW w:w="2379"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《地震灾害重点隐患排查技术与数据规范》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693" w:type="dxa"/>
            <w:vMerge w:val="continue"/>
            <w:shd w:val="clear" w:color="auto" w:fill="auto"/>
            <w:vAlign w:val="center"/>
          </w:tcPr>
          <w:p/>
        </w:tc>
        <w:tc>
          <w:tcPr>
            <w:tcW w:w="229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时效指标</w:t>
            </w:r>
          </w:p>
        </w:tc>
        <w:tc>
          <w:tcPr>
            <w:tcW w:w="223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完成时间</w:t>
            </w:r>
          </w:p>
        </w:tc>
        <w:tc>
          <w:tcPr>
            <w:tcW w:w="3841"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按时完成率，截止9月底前</w:t>
            </w:r>
          </w:p>
        </w:tc>
        <w:tc>
          <w:tcPr>
            <w:tcW w:w="1619"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100%</w:t>
            </w:r>
          </w:p>
        </w:tc>
        <w:tc>
          <w:tcPr>
            <w:tcW w:w="2379"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《河北省第一次全国自然灾害综合风险普查实施方案》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693" w:type="dxa"/>
            <w:vMerge w:val="continue"/>
            <w:shd w:val="clear" w:color="auto" w:fill="auto"/>
            <w:vAlign w:val="center"/>
          </w:tcPr>
          <w:p/>
        </w:tc>
        <w:tc>
          <w:tcPr>
            <w:tcW w:w="229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成本指标</w:t>
            </w:r>
          </w:p>
        </w:tc>
        <w:tc>
          <w:tcPr>
            <w:tcW w:w="223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重点隐患调查与评估成本</w:t>
            </w:r>
          </w:p>
        </w:tc>
        <w:tc>
          <w:tcPr>
            <w:tcW w:w="3841"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地震灾害重点隐患调查与评估：根据前期工作成果，预估廊坊市有各类承灾体超过140万，按照10%抽查比例，需完成约14万条抽查数据的控制审核。数据控制审核按照每条0.5元。</w:t>
            </w:r>
          </w:p>
        </w:tc>
        <w:tc>
          <w:tcPr>
            <w:tcW w:w="1619"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≤0.5元/条</w:t>
            </w:r>
          </w:p>
        </w:tc>
        <w:tc>
          <w:tcPr>
            <w:tcW w:w="2379"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《廊坊市应急管理局财务管理办法》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693" w:type="dxa"/>
            <w:vMerge w:val="continue"/>
            <w:shd w:val="clear" w:color="auto" w:fill="auto"/>
            <w:vAlign w:val="center"/>
          </w:tcPr>
          <w:p/>
        </w:tc>
        <w:tc>
          <w:tcPr>
            <w:tcW w:w="229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成本指标</w:t>
            </w:r>
          </w:p>
        </w:tc>
        <w:tc>
          <w:tcPr>
            <w:tcW w:w="223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风险评估与区划成本</w:t>
            </w:r>
          </w:p>
        </w:tc>
        <w:tc>
          <w:tcPr>
            <w:tcW w:w="3841"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地震灾害风险评估与区划：按照140万各类承灾体5%抽样比例计，需完成约7万条抽样数据的控制审核。数据控制审核按照每条1元。</w:t>
            </w:r>
          </w:p>
        </w:tc>
        <w:tc>
          <w:tcPr>
            <w:tcW w:w="1619"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≤1元/条</w:t>
            </w:r>
          </w:p>
        </w:tc>
        <w:tc>
          <w:tcPr>
            <w:tcW w:w="2379"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《廊坊市应急管理局财务管理办法》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693" w:type="dxa"/>
            <w:shd w:val="clear" w:color="auto" w:fill="auto"/>
            <w:vAlign w:val="center"/>
          </w:tcPr>
          <w:p>
            <w:pPr>
              <w:spacing w:line="300" w:lineRule="exact"/>
              <w:jc w:val="center"/>
              <w:rPr>
                <w:rFonts w:ascii="Times New Roman" w:hAnsi="Times New Roman" w:eastAsia="仿宋_GB2312" w:cs="Times New Roman"/>
              </w:rPr>
            </w:pPr>
            <w:r>
              <w:rPr>
                <w:rFonts w:ascii="Times New Roman" w:hAnsi="Times New Roman" w:eastAsia="仿宋_GB2312" w:cs="Times New Roman"/>
              </w:rPr>
              <w:t>效果指标</w:t>
            </w:r>
          </w:p>
        </w:tc>
        <w:tc>
          <w:tcPr>
            <w:tcW w:w="229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生态效益指标</w:t>
            </w:r>
          </w:p>
        </w:tc>
        <w:tc>
          <w:tcPr>
            <w:tcW w:w="223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对环境不造成污染</w:t>
            </w:r>
          </w:p>
        </w:tc>
        <w:tc>
          <w:tcPr>
            <w:tcW w:w="3841"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造成环境污染不得分</w:t>
            </w:r>
          </w:p>
        </w:tc>
        <w:tc>
          <w:tcPr>
            <w:tcW w:w="1619"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无污染项</w:t>
            </w:r>
          </w:p>
        </w:tc>
        <w:tc>
          <w:tcPr>
            <w:tcW w:w="2379"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《中华人民共和国环境保护法》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693" w:type="dxa"/>
            <w:shd w:val="clear" w:color="auto" w:fill="auto"/>
            <w:vAlign w:val="center"/>
          </w:tcPr>
          <w:p>
            <w:pPr>
              <w:spacing w:line="300" w:lineRule="exact"/>
              <w:jc w:val="center"/>
              <w:rPr>
                <w:rFonts w:ascii="Times New Roman" w:hAnsi="Times New Roman" w:eastAsia="仿宋_GB2312" w:cs="Times New Roman"/>
              </w:rPr>
            </w:pPr>
            <w:r>
              <w:rPr>
                <w:rFonts w:ascii="Times New Roman" w:hAnsi="Times New Roman" w:eastAsia="仿宋_GB2312" w:cs="Times New Roman"/>
              </w:rPr>
              <w:t>满意度指标</w:t>
            </w:r>
          </w:p>
        </w:tc>
        <w:tc>
          <w:tcPr>
            <w:tcW w:w="229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服务对象满意度指标</w:t>
            </w:r>
          </w:p>
        </w:tc>
        <w:tc>
          <w:tcPr>
            <w:tcW w:w="223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省局验收</w:t>
            </w:r>
          </w:p>
        </w:tc>
        <w:tc>
          <w:tcPr>
            <w:tcW w:w="3841"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省局验收</w:t>
            </w:r>
          </w:p>
        </w:tc>
        <w:tc>
          <w:tcPr>
            <w:tcW w:w="1619"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100%</w:t>
            </w:r>
          </w:p>
        </w:tc>
        <w:tc>
          <w:tcPr>
            <w:tcW w:w="2379"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省局验收结果</w:t>
            </w:r>
          </w:p>
        </w:tc>
      </w:tr>
    </w:tbl>
    <w:p>
      <w:pPr>
        <w:ind w:firstLine="560" w:firstLineChars="200"/>
        <w:jc w:val="left"/>
        <w:outlineLvl w:val="1"/>
        <w:rPr>
          <w:rFonts w:ascii="Times New Roman" w:hAnsi="Times New Roman" w:eastAsia="仿宋_GB2312" w:cs="Times New Roman"/>
          <w:sz w:val="28"/>
        </w:rPr>
      </w:pPr>
    </w:p>
    <w:p>
      <w:pPr>
        <w:ind w:firstLine="640" w:firstLineChars="200"/>
        <w:jc w:val="left"/>
        <w:outlineLvl w:val="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12.第一次全国自然灾害综合风险普查专项资金绩效目标表</w:t>
      </w:r>
    </w:p>
    <w:p>
      <w:pPr>
        <w:spacing w:line="14" w:lineRule="exact"/>
        <w:ind w:firstLine="420" w:firstLineChars="200"/>
        <w:jc w:val="center"/>
        <w:rPr>
          <w:rFonts w:ascii="Times New Roman" w:hAnsi="Times New Roman" w:eastAsia="仿宋_GB2312" w:cs="Times New Roman"/>
        </w:rPr>
      </w:pPr>
    </w:p>
    <w:tbl>
      <w:tblPr>
        <w:tblStyle w:val="9"/>
        <w:tblW w:w="1406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09"/>
        <w:gridCol w:w="2268"/>
        <w:gridCol w:w="1985"/>
        <w:gridCol w:w="3402"/>
        <w:gridCol w:w="1843"/>
        <w:gridCol w:w="215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2409"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绩效目标</w:t>
            </w:r>
          </w:p>
        </w:tc>
        <w:tc>
          <w:tcPr>
            <w:tcW w:w="11653" w:type="dxa"/>
            <w:gridSpan w:val="5"/>
            <w:shd w:val="clear" w:color="auto" w:fill="auto"/>
            <w:vAlign w:val="center"/>
          </w:tcPr>
          <w:p>
            <w:pPr>
              <w:pStyle w:val="15"/>
              <w:rPr>
                <w:rFonts w:hint="eastAsia" w:ascii="仿宋_GB2312" w:hAnsi="仿宋_GB2312" w:eastAsia="仿宋_GB2312" w:cs="仿宋_GB2312"/>
                <w:kern w:val="2"/>
                <w:sz w:val="21"/>
                <w:szCs w:val="22"/>
                <w:lang w:val="en-US" w:eastAsia="zh-CN" w:bidi="ar-SA"/>
              </w:rPr>
            </w:pPr>
            <w:r>
              <w:rPr>
                <w:rFonts w:hint="eastAsia" w:ascii="仿宋_GB2312" w:hAnsi="仿宋_GB2312" w:eastAsia="仿宋_GB2312" w:cs="仿宋_GB2312"/>
                <w:kern w:val="2"/>
                <w:sz w:val="21"/>
                <w:szCs w:val="22"/>
                <w:lang w:val="en-US" w:eastAsia="zh-CN" w:bidi="ar-SA"/>
              </w:rPr>
              <w:t>1.完成应急系统调查数据质检数据27900余条</w:t>
            </w:r>
          </w:p>
          <w:p>
            <w:pPr>
              <w:spacing w:line="300" w:lineRule="exact"/>
              <w:rPr>
                <w:rFonts w:ascii="Times New Roman" w:hAnsi="Times New Roman" w:eastAsia="仿宋_GB2312" w:cs="Times New Roman"/>
                <w:b/>
              </w:rPr>
            </w:pPr>
            <w:r>
              <w:rPr>
                <w:rFonts w:hint="eastAsia" w:ascii="仿宋_GB2312" w:hAnsi="仿宋_GB2312" w:eastAsia="仿宋_GB2312" w:cs="仿宋_GB2312"/>
                <w:kern w:val="2"/>
                <w:sz w:val="21"/>
                <w:szCs w:val="22"/>
                <w:lang w:val="en-US" w:eastAsia="zh-CN" w:bidi="ar-SA"/>
              </w:rPr>
              <w:t>2.完成应急系统调查成果850余条数据的现场核查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2409"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一级指标</w:t>
            </w:r>
          </w:p>
        </w:tc>
        <w:tc>
          <w:tcPr>
            <w:tcW w:w="2268"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二级指标</w:t>
            </w:r>
          </w:p>
        </w:tc>
        <w:tc>
          <w:tcPr>
            <w:tcW w:w="1985"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三级指标</w:t>
            </w:r>
          </w:p>
        </w:tc>
        <w:tc>
          <w:tcPr>
            <w:tcW w:w="3402"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绩效指标描述</w:t>
            </w:r>
          </w:p>
        </w:tc>
        <w:tc>
          <w:tcPr>
            <w:tcW w:w="1843"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指标值</w:t>
            </w:r>
          </w:p>
        </w:tc>
        <w:tc>
          <w:tcPr>
            <w:tcW w:w="2155"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restart"/>
            <w:shd w:val="clear" w:color="auto" w:fill="auto"/>
            <w:vAlign w:val="center"/>
          </w:tcPr>
          <w:p>
            <w:pPr>
              <w:spacing w:line="300" w:lineRule="exact"/>
              <w:jc w:val="center"/>
              <w:rPr>
                <w:rFonts w:ascii="Times New Roman" w:hAnsi="Times New Roman" w:eastAsia="仿宋_GB2312" w:cs="Times New Roman"/>
              </w:rPr>
            </w:pPr>
            <w:r>
              <w:rPr>
                <w:rFonts w:ascii="Times New Roman" w:hAnsi="Times New Roman" w:eastAsia="仿宋_GB2312" w:cs="Times New Roman"/>
              </w:rPr>
              <w:t>产出指标</w:t>
            </w:r>
          </w:p>
        </w:tc>
        <w:tc>
          <w:tcPr>
            <w:tcW w:w="2268"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数量指标</w:t>
            </w:r>
          </w:p>
        </w:tc>
        <w:tc>
          <w:tcPr>
            <w:tcW w:w="198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成果报告</w:t>
            </w:r>
          </w:p>
        </w:tc>
        <w:tc>
          <w:tcPr>
            <w:tcW w:w="3402"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编制方案规定的成果报告</w:t>
            </w:r>
          </w:p>
        </w:tc>
        <w:tc>
          <w:tcPr>
            <w:tcW w:w="1843"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1份</w:t>
            </w:r>
          </w:p>
        </w:tc>
        <w:tc>
          <w:tcPr>
            <w:tcW w:w="215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《河北省第一次全国自然灾害综合风险普查实施方案》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tc>
        <w:tc>
          <w:tcPr>
            <w:tcW w:w="2268"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质量指标</w:t>
            </w:r>
          </w:p>
        </w:tc>
        <w:tc>
          <w:tcPr>
            <w:tcW w:w="198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审核通过率</w:t>
            </w:r>
          </w:p>
        </w:tc>
        <w:tc>
          <w:tcPr>
            <w:tcW w:w="3402"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达到风险普查技术规范的要求</w:t>
            </w:r>
          </w:p>
        </w:tc>
        <w:tc>
          <w:tcPr>
            <w:tcW w:w="1843"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100%</w:t>
            </w:r>
          </w:p>
        </w:tc>
        <w:tc>
          <w:tcPr>
            <w:tcW w:w="215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第一次全国自然灾害综合风险普查技术规范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tc>
        <w:tc>
          <w:tcPr>
            <w:tcW w:w="2268"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时效指标</w:t>
            </w:r>
          </w:p>
        </w:tc>
        <w:tc>
          <w:tcPr>
            <w:tcW w:w="198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完成时间</w:t>
            </w:r>
          </w:p>
        </w:tc>
        <w:tc>
          <w:tcPr>
            <w:tcW w:w="3402"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2022第二季度</w:t>
            </w:r>
          </w:p>
        </w:tc>
        <w:tc>
          <w:tcPr>
            <w:tcW w:w="1843"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按时完成</w:t>
            </w:r>
          </w:p>
        </w:tc>
        <w:tc>
          <w:tcPr>
            <w:tcW w:w="215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省普查办规定的工作进度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tc>
        <w:tc>
          <w:tcPr>
            <w:tcW w:w="2268"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成本指标</w:t>
            </w:r>
          </w:p>
        </w:tc>
        <w:tc>
          <w:tcPr>
            <w:tcW w:w="198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调查成果制作费成本预算</w:t>
            </w:r>
          </w:p>
        </w:tc>
        <w:tc>
          <w:tcPr>
            <w:tcW w:w="3402"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调查成果制作费96000元，用于编制全市应急系统自然灾害综合风险普查成果报告</w:t>
            </w:r>
          </w:p>
        </w:tc>
        <w:tc>
          <w:tcPr>
            <w:tcW w:w="1843"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≤9.6万元</w:t>
            </w:r>
          </w:p>
        </w:tc>
        <w:tc>
          <w:tcPr>
            <w:tcW w:w="215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廊坊市应急管理局财务管理办法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restart"/>
            <w:shd w:val="clear" w:color="auto" w:fill="auto"/>
            <w:vAlign w:val="center"/>
          </w:tcPr>
          <w:p>
            <w:pPr>
              <w:spacing w:line="300" w:lineRule="exact"/>
              <w:jc w:val="center"/>
              <w:rPr>
                <w:rFonts w:ascii="Times New Roman" w:hAnsi="Times New Roman" w:eastAsia="仿宋_GB2312" w:cs="Times New Roman"/>
              </w:rPr>
            </w:pPr>
            <w:r>
              <w:rPr>
                <w:rFonts w:ascii="Times New Roman" w:hAnsi="Times New Roman" w:eastAsia="仿宋_GB2312" w:cs="Times New Roman"/>
              </w:rPr>
              <w:t>效果指标</w:t>
            </w:r>
          </w:p>
        </w:tc>
        <w:tc>
          <w:tcPr>
            <w:tcW w:w="2268"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社会效益指标</w:t>
            </w:r>
          </w:p>
        </w:tc>
        <w:tc>
          <w:tcPr>
            <w:tcW w:w="198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摸清风险隐患底数</w:t>
            </w:r>
          </w:p>
        </w:tc>
        <w:tc>
          <w:tcPr>
            <w:tcW w:w="3402"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全面摸清全市综合风险隐患底数，为灾害防治提供依据</w:t>
            </w:r>
          </w:p>
        </w:tc>
        <w:tc>
          <w:tcPr>
            <w:tcW w:w="1843"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完成</w:t>
            </w:r>
          </w:p>
        </w:tc>
        <w:tc>
          <w:tcPr>
            <w:tcW w:w="215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国务院办公厅关于开展第一次全国自然灾害综合风险普查的通知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tc>
        <w:tc>
          <w:tcPr>
            <w:tcW w:w="2268"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可持续影响指标</w:t>
            </w:r>
          </w:p>
        </w:tc>
        <w:tc>
          <w:tcPr>
            <w:tcW w:w="198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客观认识全市灾害综合风险水平</w:t>
            </w:r>
          </w:p>
        </w:tc>
        <w:tc>
          <w:tcPr>
            <w:tcW w:w="3402"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为提升全市自然灾害防治能力提供决策依据</w:t>
            </w:r>
          </w:p>
        </w:tc>
        <w:tc>
          <w:tcPr>
            <w:tcW w:w="1843"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完成</w:t>
            </w:r>
          </w:p>
        </w:tc>
        <w:tc>
          <w:tcPr>
            <w:tcW w:w="215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国务院办公厅关于开展第一次全国自然灾害综合风险普查的通知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shd w:val="clear" w:color="auto" w:fill="auto"/>
            <w:vAlign w:val="center"/>
          </w:tcPr>
          <w:p>
            <w:pPr>
              <w:spacing w:line="300" w:lineRule="exact"/>
              <w:jc w:val="center"/>
              <w:rPr>
                <w:rFonts w:ascii="Times New Roman" w:hAnsi="Times New Roman" w:eastAsia="仿宋_GB2312" w:cs="Times New Roman"/>
              </w:rPr>
            </w:pPr>
            <w:r>
              <w:rPr>
                <w:rFonts w:ascii="Times New Roman" w:hAnsi="Times New Roman" w:eastAsia="仿宋_GB2312" w:cs="Times New Roman"/>
              </w:rPr>
              <w:t>满意度指标</w:t>
            </w:r>
          </w:p>
        </w:tc>
        <w:tc>
          <w:tcPr>
            <w:tcW w:w="2268"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服务对象满意度指标</w:t>
            </w:r>
          </w:p>
        </w:tc>
        <w:tc>
          <w:tcPr>
            <w:tcW w:w="198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服务对象满意度</w:t>
            </w:r>
          </w:p>
        </w:tc>
        <w:tc>
          <w:tcPr>
            <w:tcW w:w="3402"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省应急管理厅满意度</w:t>
            </w:r>
          </w:p>
        </w:tc>
        <w:tc>
          <w:tcPr>
            <w:tcW w:w="1843"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≥95%</w:t>
            </w:r>
          </w:p>
        </w:tc>
        <w:tc>
          <w:tcPr>
            <w:tcW w:w="215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问卷调查</w:t>
            </w:r>
          </w:p>
        </w:tc>
      </w:tr>
    </w:tbl>
    <w:p>
      <w:pPr>
        <w:ind w:firstLine="640" w:firstLineChars="200"/>
        <w:jc w:val="left"/>
        <w:outlineLvl w:val="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13.视频会议系统搬迁和扩建专项资金绩效目标表</w:t>
      </w:r>
    </w:p>
    <w:p>
      <w:pPr>
        <w:spacing w:line="14" w:lineRule="exact"/>
        <w:ind w:firstLine="420" w:firstLineChars="200"/>
        <w:jc w:val="center"/>
        <w:rPr>
          <w:rFonts w:ascii="Times New Roman" w:hAnsi="Times New Roman" w:eastAsia="仿宋_GB2312" w:cs="Times New Roman"/>
        </w:rPr>
      </w:pPr>
    </w:p>
    <w:tbl>
      <w:tblPr>
        <w:tblStyle w:val="9"/>
        <w:tblW w:w="1406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09"/>
        <w:gridCol w:w="2268"/>
        <w:gridCol w:w="1985"/>
        <w:gridCol w:w="3402"/>
        <w:gridCol w:w="1843"/>
        <w:gridCol w:w="215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2409"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绩效目标</w:t>
            </w:r>
          </w:p>
        </w:tc>
        <w:tc>
          <w:tcPr>
            <w:tcW w:w="11653" w:type="dxa"/>
            <w:gridSpan w:val="5"/>
            <w:shd w:val="clear" w:color="auto" w:fill="auto"/>
            <w:vAlign w:val="center"/>
          </w:tcPr>
          <w:p>
            <w:pPr>
              <w:spacing w:line="300" w:lineRule="exact"/>
              <w:rPr>
                <w:rFonts w:ascii="Times New Roman" w:hAnsi="Times New Roman" w:eastAsia="仿宋_GB2312" w:cs="Times New Roman"/>
                <w:b/>
              </w:rPr>
            </w:pPr>
            <w:r>
              <w:rPr>
                <w:rFonts w:hint="eastAsia" w:ascii="仿宋_GB2312" w:hAnsi="仿宋_GB2312" w:eastAsia="仿宋_GB2312" w:cs="仿宋_GB2312"/>
              </w:rPr>
              <w:t>1.完成新办公场所视频会议系统的搬迁和扩建，满足办公需求。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2409"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一级指标</w:t>
            </w:r>
          </w:p>
        </w:tc>
        <w:tc>
          <w:tcPr>
            <w:tcW w:w="2268"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二级指标</w:t>
            </w:r>
          </w:p>
        </w:tc>
        <w:tc>
          <w:tcPr>
            <w:tcW w:w="1985"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三级指标</w:t>
            </w:r>
          </w:p>
        </w:tc>
        <w:tc>
          <w:tcPr>
            <w:tcW w:w="3402"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绩效指标描述</w:t>
            </w:r>
          </w:p>
        </w:tc>
        <w:tc>
          <w:tcPr>
            <w:tcW w:w="1843"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指标值</w:t>
            </w:r>
          </w:p>
        </w:tc>
        <w:tc>
          <w:tcPr>
            <w:tcW w:w="2155"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restart"/>
            <w:shd w:val="clear" w:color="auto" w:fill="auto"/>
            <w:vAlign w:val="center"/>
          </w:tcPr>
          <w:p>
            <w:pPr>
              <w:spacing w:line="300" w:lineRule="exact"/>
              <w:jc w:val="center"/>
              <w:rPr>
                <w:rFonts w:ascii="Times New Roman" w:hAnsi="Times New Roman" w:eastAsia="仿宋_GB2312" w:cs="Times New Roman"/>
              </w:rPr>
            </w:pPr>
            <w:r>
              <w:rPr>
                <w:rFonts w:ascii="Times New Roman" w:hAnsi="Times New Roman" w:eastAsia="仿宋_GB2312" w:cs="Times New Roman"/>
              </w:rPr>
              <w:t>产出指标</w:t>
            </w:r>
          </w:p>
        </w:tc>
        <w:tc>
          <w:tcPr>
            <w:tcW w:w="2268"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数量指标</w:t>
            </w:r>
          </w:p>
        </w:tc>
        <w:tc>
          <w:tcPr>
            <w:tcW w:w="198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房间数</w:t>
            </w:r>
          </w:p>
        </w:tc>
        <w:tc>
          <w:tcPr>
            <w:tcW w:w="3402"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4间会议室</w:t>
            </w:r>
          </w:p>
        </w:tc>
        <w:tc>
          <w:tcPr>
            <w:tcW w:w="1843"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4间</w:t>
            </w:r>
          </w:p>
        </w:tc>
        <w:tc>
          <w:tcPr>
            <w:tcW w:w="215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廊坊市应急管理局频会议系统搬迁及扩建项目方案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tc>
        <w:tc>
          <w:tcPr>
            <w:tcW w:w="2268"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质量指标</w:t>
            </w:r>
          </w:p>
        </w:tc>
        <w:tc>
          <w:tcPr>
            <w:tcW w:w="198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工程验收合格率</w:t>
            </w:r>
          </w:p>
        </w:tc>
        <w:tc>
          <w:tcPr>
            <w:tcW w:w="3402"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工程验收合格率</w:t>
            </w:r>
          </w:p>
        </w:tc>
        <w:tc>
          <w:tcPr>
            <w:tcW w:w="1843"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100%</w:t>
            </w:r>
          </w:p>
        </w:tc>
        <w:tc>
          <w:tcPr>
            <w:tcW w:w="215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廊坊市应急管理局频会议系统搬迁及扩建项目方案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tc>
        <w:tc>
          <w:tcPr>
            <w:tcW w:w="2268"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时效指标</w:t>
            </w:r>
          </w:p>
        </w:tc>
        <w:tc>
          <w:tcPr>
            <w:tcW w:w="198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搬迁完工及时性</w:t>
            </w:r>
          </w:p>
        </w:tc>
        <w:tc>
          <w:tcPr>
            <w:tcW w:w="3402"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2022年4月底完成</w:t>
            </w:r>
          </w:p>
        </w:tc>
        <w:tc>
          <w:tcPr>
            <w:tcW w:w="1843"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按时完成</w:t>
            </w:r>
          </w:p>
        </w:tc>
        <w:tc>
          <w:tcPr>
            <w:tcW w:w="215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廊坊市应急管理局频会议系统搬迁及扩建项目方案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tc>
        <w:tc>
          <w:tcPr>
            <w:tcW w:w="2268"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成本指标</w:t>
            </w:r>
          </w:p>
        </w:tc>
        <w:tc>
          <w:tcPr>
            <w:tcW w:w="198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无线会议主机成本</w:t>
            </w:r>
          </w:p>
        </w:tc>
        <w:tc>
          <w:tcPr>
            <w:tcW w:w="3402"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不超过12962元/台</w:t>
            </w:r>
          </w:p>
        </w:tc>
        <w:tc>
          <w:tcPr>
            <w:tcW w:w="1843"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≤12962元/台</w:t>
            </w:r>
          </w:p>
        </w:tc>
        <w:tc>
          <w:tcPr>
            <w:tcW w:w="215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廊坊市应急管理局频会议系统搬迁及扩建项目方案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tc>
        <w:tc>
          <w:tcPr>
            <w:tcW w:w="2268"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成本指标</w:t>
            </w:r>
          </w:p>
        </w:tc>
        <w:tc>
          <w:tcPr>
            <w:tcW w:w="198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液晶拼接显示屏成本</w:t>
            </w:r>
          </w:p>
        </w:tc>
        <w:tc>
          <w:tcPr>
            <w:tcW w:w="3402"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液晶拼接显示屏成本不超过9888元/块</w:t>
            </w:r>
          </w:p>
        </w:tc>
        <w:tc>
          <w:tcPr>
            <w:tcW w:w="1843"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≤9888元/块</w:t>
            </w:r>
          </w:p>
        </w:tc>
        <w:tc>
          <w:tcPr>
            <w:tcW w:w="215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廊坊市应急管理局频会议系统搬迁及扩建项目方案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shd w:val="clear" w:color="auto" w:fill="auto"/>
            <w:vAlign w:val="center"/>
          </w:tcPr>
          <w:p>
            <w:pPr>
              <w:spacing w:line="300" w:lineRule="exact"/>
              <w:jc w:val="center"/>
              <w:rPr>
                <w:rFonts w:ascii="Times New Roman" w:hAnsi="Times New Roman" w:eastAsia="仿宋_GB2312" w:cs="Times New Roman"/>
              </w:rPr>
            </w:pPr>
            <w:r>
              <w:rPr>
                <w:rFonts w:ascii="Times New Roman" w:hAnsi="Times New Roman" w:eastAsia="仿宋_GB2312" w:cs="Times New Roman"/>
              </w:rPr>
              <w:t>效果指标</w:t>
            </w:r>
          </w:p>
        </w:tc>
        <w:tc>
          <w:tcPr>
            <w:tcW w:w="2268"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社会效益指标</w:t>
            </w:r>
          </w:p>
        </w:tc>
        <w:tc>
          <w:tcPr>
            <w:tcW w:w="198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完成新办公场所视频会议系统的搬迁和扩建，满足办公需求</w:t>
            </w:r>
          </w:p>
        </w:tc>
        <w:tc>
          <w:tcPr>
            <w:tcW w:w="3402"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完成新办公场所视频会议系统的搬迁和扩建，满足办公需求</w:t>
            </w:r>
          </w:p>
        </w:tc>
        <w:tc>
          <w:tcPr>
            <w:tcW w:w="1843"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满足</w:t>
            </w:r>
          </w:p>
        </w:tc>
        <w:tc>
          <w:tcPr>
            <w:tcW w:w="215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廊坊市应急管理局频会议系统搬迁及扩建项目方案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shd w:val="clear" w:color="auto" w:fill="auto"/>
            <w:vAlign w:val="center"/>
          </w:tcPr>
          <w:p>
            <w:pPr>
              <w:spacing w:line="300" w:lineRule="exact"/>
              <w:jc w:val="center"/>
              <w:rPr>
                <w:rFonts w:ascii="Times New Roman" w:hAnsi="Times New Roman" w:eastAsia="仿宋_GB2312" w:cs="Times New Roman"/>
              </w:rPr>
            </w:pPr>
            <w:r>
              <w:rPr>
                <w:rFonts w:ascii="Times New Roman" w:hAnsi="Times New Roman" w:eastAsia="仿宋_GB2312" w:cs="Times New Roman"/>
              </w:rPr>
              <w:t>满意度指标</w:t>
            </w:r>
          </w:p>
        </w:tc>
        <w:tc>
          <w:tcPr>
            <w:tcW w:w="2268"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服务对象满意度指标</w:t>
            </w:r>
          </w:p>
        </w:tc>
        <w:tc>
          <w:tcPr>
            <w:tcW w:w="198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用户满意度</w:t>
            </w:r>
          </w:p>
        </w:tc>
        <w:tc>
          <w:tcPr>
            <w:tcW w:w="3402"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用户满意度</w:t>
            </w:r>
          </w:p>
        </w:tc>
        <w:tc>
          <w:tcPr>
            <w:tcW w:w="1843"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≥95%</w:t>
            </w:r>
          </w:p>
        </w:tc>
        <w:tc>
          <w:tcPr>
            <w:tcW w:w="215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问卷调查</w:t>
            </w:r>
          </w:p>
        </w:tc>
      </w:tr>
    </w:tbl>
    <w:p>
      <w:pPr>
        <w:ind w:firstLine="640" w:firstLineChars="200"/>
        <w:jc w:val="left"/>
        <w:outlineLvl w:val="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14.应急管理信息平台设备购置专项资金绩效目标表</w:t>
      </w:r>
    </w:p>
    <w:p>
      <w:pPr>
        <w:spacing w:line="14" w:lineRule="exact"/>
        <w:ind w:firstLine="420" w:firstLineChars="200"/>
        <w:jc w:val="center"/>
        <w:rPr>
          <w:rFonts w:ascii="Times New Roman" w:hAnsi="Times New Roman" w:eastAsia="仿宋_GB2312" w:cs="Times New Roman"/>
        </w:rPr>
      </w:pPr>
    </w:p>
    <w:tbl>
      <w:tblPr>
        <w:tblStyle w:val="9"/>
        <w:tblW w:w="1406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09"/>
        <w:gridCol w:w="2268"/>
        <w:gridCol w:w="1985"/>
        <w:gridCol w:w="3402"/>
        <w:gridCol w:w="1843"/>
        <w:gridCol w:w="215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2409"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绩效目标</w:t>
            </w:r>
          </w:p>
        </w:tc>
        <w:tc>
          <w:tcPr>
            <w:tcW w:w="11653" w:type="dxa"/>
            <w:gridSpan w:val="5"/>
            <w:shd w:val="clear" w:color="auto" w:fill="auto"/>
            <w:vAlign w:val="center"/>
          </w:tcPr>
          <w:p>
            <w:pPr>
              <w:spacing w:line="300" w:lineRule="exact"/>
              <w:rPr>
                <w:rFonts w:ascii="Times New Roman" w:hAnsi="Times New Roman" w:eastAsia="仿宋_GB2312" w:cs="Times New Roman"/>
                <w:b/>
              </w:rPr>
            </w:pPr>
            <w:r>
              <w:rPr>
                <w:rFonts w:hint="eastAsia" w:ascii="仿宋_GB2312" w:hAnsi="仿宋_GB2312" w:eastAsia="仿宋_GB2312" w:cs="仿宋_GB2312"/>
              </w:rPr>
              <w:t>1.提高应急管理信息化水平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2409"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一级指标</w:t>
            </w:r>
          </w:p>
        </w:tc>
        <w:tc>
          <w:tcPr>
            <w:tcW w:w="2268"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二级指标</w:t>
            </w:r>
          </w:p>
        </w:tc>
        <w:tc>
          <w:tcPr>
            <w:tcW w:w="1985"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三级指标</w:t>
            </w:r>
          </w:p>
        </w:tc>
        <w:tc>
          <w:tcPr>
            <w:tcW w:w="3402"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绩效指标描述</w:t>
            </w:r>
          </w:p>
        </w:tc>
        <w:tc>
          <w:tcPr>
            <w:tcW w:w="1843"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指标值</w:t>
            </w:r>
          </w:p>
        </w:tc>
        <w:tc>
          <w:tcPr>
            <w:tcW w:w="2155"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restart"/>
            <w:shd w:val="clear" w:color="auto" w:fill="auto"/>
            <w:vAlign w:val="center"/>
          </w:tcPr>
          <w:p>
            <w:pPr>
              <w:spacing w:line="300" w:lineRule="exact"/>
              <w:jc w:val="center"/>
              <w:rPr>
                <w:rFonts w:ascii="Times New Roman" w:hAnsi="Times New Roman" w:eastAsia="仿宋_GB2312" w:cs="Times New Roman"/>
              </w:rPr>
            </w:pPr>
            <w:r>
              <w:rPr>
                <w:rFonts w:ascii="Times New Roman" w:hAnsi="Times New Roman" w:eastAsia="仿宋_GB2312" w:cs="Times New Roman"/>
              </w:rPr>
              <w:t>产出指标</w:t>
            </w:r>
          </w:p>
        </w:tc>
        <w:tc>
          <w:tcPr>
            <w:tcW w:w="2268"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数量指标</w:t>
            </w:r>
          </w:p>
        </w:tc>
        <w:tc>
          <w:tcPr>
            <w:tcW w:w="198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模块数</w:t>
            </w:r>
          </w:p>
        </w:tc>
        <w:tc>
          <w:tcPr>
            <w:tcW w:w="3402"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模块数</w:t>
            </w:r>
          </w:p>
        </w:tc>
        <w:tc>
          <w:tcPr>
            <w:tcW w:w="1843"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4块</w:t>
            </w:r>
          </w:p>
        </w:tc>
        <w:tc>
          <w:tcPr>
            <w:tcW w:w="215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《河北省应急管理信息化发展规划》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tc>
        <w:tc>
          <w:tcPr>
            <w:tcW w:w="2268"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质量指标</w:t>
            </w:r>
          </w:p>
        </w:tc>
        <w:tc>
          <w:tcPr>
            <w:tcW w:w="198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错误率</w:t>
            </w:r>
          </w:p>
        </w:tc>
        <w:tc>
          <w:tcPr>
            <w:tcW w:w="3402"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错误率</w:t>
            </w:r>
          </w:p>
        </w:tc>
        <w:tc>
          <w:tcPr>
            <w:tcW w:w="1843"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≤5%</w:t>
            </w:r>
          </w:p>
        </w:tc>
        <w:tc>
          <w:tcPr>
            <w:tcW w:w="215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《河北省应急管理信息化发展规划》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tc>
        <w:tc>
          <w:tcPr>
            <w:tcW w:w="2268"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时效指标</w:t>
            </w:r>
          </w:p>
        </w:tc>
        <w:tc>
          <w:tcPr>
            <w:tcW w:w="198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完成及时性</w:t>
            </w:r>
          </w:p>
        </w:tc>
        <w:tc>
          <w:tcPr>
            <w:tcW w:w="3402"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2022年6月30日前完成</w:t>
            </w:r>
          </w:p>
        </w:tc>
        <w:tc>
          <w:tcPr>
            <w:tcW w:w="1843"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按时完成</w:t>
            </w:r>
          </w:p>
        </w:tc>
        <w:tc>
          <w:tcPr>
            <w:tcW w:w="215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《河北省应急管理信息化发展规划》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tc>
        <w:tc>
          <w:tcPr>
            <w:tcW w:w="2268"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成本指标</w:t>
            </w:r>
          </w:p>
        </w:tc>
        <w:tc>
          <w:tcPr>
            <w:tcW w:w="198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控制在预算金额内</w:t>
            </w:r>
          </w:p>
        </w:tc>
        <w:tc>
          <w:tcPr>
            <w:tcW w:w="3402"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控制在预算金额内</w:t>
            </w:r>
          </w:p>
        </w:tc>
        <w:tc>
          <w:tcPr>
            <w:tcW w:w="1843"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≤40万元</w:t>
            </w:r>
          </w:p>
        </w:tc>
        <w:tc>
          <w:tcPr>
            <w:tcW w:w="215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《河北省应急管理信息化发展规划》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shd w:val="clear" w:color="auto" w:fill="auto"/>
            <w:vAlign w:val="center"/>
          </w:tcPr>
          <w:p>
            <w:pPr>
              <w:spacing w:line="300" w:lineRule="exact"/>
              <w:jc w:val="center"/>
              <w:rPr>
                <w:rFonts w:ascii="Times New Roman" w:hAnsi="Times New Roman" w:eastAsia="仿宋_GB2312" w:cs="Times New Roman"/>
              </w:rPr>
            </w:pPr>
            <w:r>
              <w:rPr>
                <w:rFonts w:ascii="Times New Roman" w:hAnsi="Times New Roman" w:eastAsia="仿宋_GB2312" w:cs="Times New Roman"/>
              </w:rPr>
              <w:t>效果指标</w:t>
            </w:r>
          </w:p>
        </w:tc>
        <w:tc>
          <w:tcPr>
            <w:tcW w:w="2268"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社会效益指标</w:t>
            </w:r>
          </w:p>
        </w:tc>
        <w:tc>
          <w:tcPr>
            <w:tcW w:w="198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提高应急管理信息化水平</w:t>
            </w:r>
          </w:p>
        </w:tc>
        <w:tc>
          <w:tcPr>
            <w:tcW w:w="3402"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提高应急管理信息化水平</w:t>
            </w:r>
          </w:p>
        </w:tc>
        <w:tc>
          <w:tcPr>
            <w:tcW w:w="1843"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提高应急管理信息化水平</w:t>
            </w:r>
          </w:p>
        </w:tc>
        <w:tc>
          <w:tcPr>
            <w:tcW w:w="215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《河北省应急管理信息化发展规划》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shd w:val="clear" w:color="auto" w:fill="auto"/>
            <w:vAlign w:val="center"/>
          </w:tcPr>
          <w:p>
            <w:pPr>
              <w:spacing w:line="300" w:lineRule="exact"/>
              <w:jc w:val="center"/>
              <w:rPr>
                <w:rFonts w:ascii="Times New Roman" w:hAnsi="Times New Roman" w:eastAsia="仿宋_GB2312" w:cs="Times New Roman"/>
              </w:rPr>
            </w:pPr>
            <w:r>
              <w:rPr>
                <w:rFonts w:ascii="Times New Roman" w:hAnsi="Times New Roman" w:eastAsia="仿宋_GB2312" w:cs="Times New Roman"/>
              </w:rPr>
              <w:t>满意度指标</w:t>
            </w:r>
          </w:p>
        </w:tc>
        <w:tc>
          <w:tcPr>
            <w:tcW w:w="2268"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服务对象满意度指标</w:t>
            </w:r>
          </w:p>
        </w:tc>
        <w:tc>
          <w:tcPr>
            <w:tcW w:w="198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用户满意度</w:t>
            </w:r>
          </w:p>
        </w:tc>
        <w:tc>
          <w:tcPr>
            <w:tcW w:w="3402"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用户满意度</w:t>
            </w:r>
          </w:p>
        </w:tc>
        <w:tc>
          <w:tcPr>
            <w:tcW w:w="1843"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≥95%</w:t>
            </w:r>
          </w:p>
        </w:tc>
        <w:tc>
          <w:tcPr>
            <w:tcW w:w="215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问卷调查</w:t>
            </w:r>
          </w:p>
        </w:tc>
      </w:tr>
    </w:tbl>
    <w:p>
      <w:pPr>
        <w:ind w:firstLine="560" w:firstLineChars="200"/>
        <w:jc w:val="left"/>
        <w:outlineLvl w:val="1"/>
        <w:rPr>
          <w:rFonts w:hint="eastAsia" w:ascii="Times New Roman" w:hAnsi="Times New Roman" w:eastAsia="仿宋_GB2312" w:cs="Times New Roman"/>
          <w:sz w:val="28"/>
          <w:lang w:val="en-US" w:eastAsia="zh-CN"/>
        </w:rPr>
      </w:pPr>
    </w:p>
    <w:p>
      <w:pPr>
        <w:ind w:firstLine="560" w:firstLineChars="200"/>
        <w:jc w:val="left"/>
        <w:outlineLvl w:val="1"/>
        <w:rPr>
          <w:rFonts w:hint="eastAsia" w:ascii="Times New Roman" w:hAnsi="Times New Roman" w:eastAsia="仿宋_GB2312" w:cs="Times New Roman"/>
          <w:sz w:val="28"/>
          <w:lang w:val="en-US" w:eastAsia="zh-CN"/>
        </w:rPr>
      </w:pPr>
    </w:p>
    <w:p>
      <w:pPr>
        <w:ind w:firstLine="560" w:firstLineChars="200"/>
        <w:jc w:val="left"/>
        <w:outlineLvl w:val="1"/>
        <w:rPr>
          <w:rFonts w:hint="eastAsia" w:ascii="Times New Roman" w:hAnsi="Times New Roman" w:eastAsia="仿宋_GB2312" w:cs="Times New Roman"/>
          <w:sz w:val="28"/>
          <w:lang w:val="en-US" w:eastAsia="zh-CN"/>
        </w:rPr>
      </w:pPr>
    </w:p>
    <w:p>
      <w:pPr>
        <w:ind w:firstLine="560" w:firstLineChars="200"/>
        <w:jc w:val="left"/>
        <w:outlineLvl w:val="1"/>
        <w:rPr>
          <w:rFonts w:hint="eastAsia" w:ascii="Times New Roman" w:hAnsi="Times New Roman" w:eastAsia="仿宋_GB2312" w:cs="Times New Roman"/>
          <w:sz w:val="28"/>
          <w:lang w:val="en-US" w:eastAsia="zh-CN"/>
        </w:rPr>
      </w:pPr>
    </w:p>
    <w:p>
      <w:pPr>
        <w:ind w:firstLine="560" w:firstLineChars="200"/>
        <w:jc w:val="left"/>
        <w:outlineLvl w:val="1"/>
        <w:rPr>
          <w:rFonts w:hint="eastAsia" w:ascii="Times New Roman" w:hAnsi="Times New Roman" w:eastAsia="仿宋_GB2312" w:cs="Times New Roman"/>
          <w:sz w:val="28"/>
          <w:lang w:val="en-US" w:eastAsia="zh-CN"/>
        </w:rPr>
      </w:pPr>
    </w:p>
    <w:p>
      <w:pPr>
        <w:ind w:firstLine="640" w:firstLineChars="200"/>
        <w:jc w:val="left"/>
        <w:outlineLvl w:val="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15.应急管理信息平台设备购置专项资金绩效目标表</w:t>
      </w:r>
    </w:p>
    <w:p>
      <w:pPr>
        <w:spacing w:line="14" w:lineRule="exact"/>
        <w:ind w:firstLine="420" w:firstLineChars="200"/>
        <w:jc w:val="center"/>
        <w:rPr>
          <w:rFonts w:ascii="Times New Roman" w:hAnsi="Times New Roman" w:eastAsia="仿宋_GB2312" w:cs="Times New Roman"/>
        </w:rPr>
      </w:pPr>
    </w:p>
    <w:tbl>
      <w:tblPr>
        <w:tblStyle w:val="9"/>
        <w:tblW w:w="1406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09"/>
        <w:gridCol w:w="2268"/>
        <w:gridCol w:w="1985"/>
        <w:gridCol w:w="3402"/>
        <w:gridCol w:w="1843"/>
        <w:gridCol w:w="215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2409"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绩效目标</w:t>
            </w:r>
          </w:p>
        </w:tc>
        <w:tc>
          <w:tcPr>
            <w:tcW w:w="11653" w:type="dxa"/>
            <w:gridSpan w:val="5"/>
            <w:shd w:val="clear" w:color="auto" w:fill="auto"/>
            <w:vAlign w:val="center"/>
          </w:tcPr>
          <w:p>
            <w:pPr>
              <w:spacing w:line="300" w:lineRule="exact"/>
              <w:rPr>
                <w:rFonts w:ascii="Times New Roman" w:hAnsi="Times New Roman" w:eastAsia="仿宋_GB2312" w:cs="Times New Roman"/>
                <w:b/>
              </w:rPr>
            </w:pPr>
            <w:r>
              <w:rPr>
                <w:rFonts w:hint="eastAsia" w:ascii="仿宋_GB2312" w:hAnsi="仿宋_GB2312" w:eastAsia="仿宋_GB2312" w:cs="仿宋_GB2312"/>
              </w:rPr>
              <w:t>1.通过信息化平台系统的升级完善，数据完备性接入，从而实现应急指挥可视化，提高应急管理的处理效率，保障应急管理工作的准确性、高效性和风险评估的可行性。完成省厅要求的应急管理信息化平台本年度建设目标，并在2022年12月31日前交付使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2409"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一级指标</w:t>
            </w:r>
          </w:p>
        </w:tc>
        <w:tc>
          <w:tcPr>
            <w:tcW w:w="2268"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二级指标</w:t>
            </w:r>
          </w:p>
        </w:tc>
        <w:tc>
          <w:tcPr>
            <w:tcW w:w="1985"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三级指标</w:t>
            </w:r>
          </w:p>
        </w:tc>
        <w:tc>
          <w:tcPr>
            <w:tcW w:w="3402"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绩效指标描述</w:t>
            </w:r>
          </w:p>
        </w:tc>
        <w:tc>
          <w:tcPr>
            <w:tcW w:w="1843"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指标值</w:t>
            </w:r>
          </w:p>
        </w:tc>
        <w:tc>
          <w:tcPr>
            <w:tcW w:w="2155"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restart"/>
            <w:shd w:val="clear" w:color="auto" w:fill="auto"/>
            <w:vAlign w:val="center"/>
          </w:tcPr>
          <w:p>
            <w:pPr>
              <w:spacing w:line="300" w:lineRule="exact"/>
              <w:jc w:val="center"/>
              <w:rPr>
                <w:rFonts w:ascii="Times New Roman" w:hAnsi="Times New Roman" w:eastAsia="仿宋_GB2312" w:cs="Times New Roman"/>
              </w:rPr>
            </w:pPr>
            <w:r>
              <w:rPr>
                <w:rFonts w:ascii="Times New Roman" w:hAnsi="Times New Roman" w:eastAsia="仿宋_GB2312" w:cs="Times New Roman"/>
              </w:rPr>
              <w:t>产出指标</w:t>
            </w:r>
          </w:p>
        </w:tc>
        <w:tc>
          <w:tcPr>
            <w:tcW w:w="2268"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数量指标</w:t>
            </w:r>
          </w:p>
        </w:tc>
        <w:tc>
          <w:tcPr>
            <w:tcW w:w="198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功能模块数</w:t>
            </w:r>
          </w:p>
        </w:tc>
        <w:tc>
          <w:tcPr>
            <w:tcW w:w="3402"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4块</w:t>
            </w:r>
          </w:p>
        </w:tc>
        <w:tc>
          <w:tcPr>
            <w:tcW w:w="1843"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4块</w:t>
            </w:r>
          </w:p>
        </w:tc>
        <w:tc>
          <w:tcPr>
            <w:tcW w:w="215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《河北省应急管理信息化发展规划》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tc>
        <w:tc>
          <w:tcPr>
            <w:tcW w:w="2268"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质量指标</w:t>
            </w:r>
          </w:p>
        </w:tc>
        <w:tc>
          <w:tcPr>
            <w:tcW w:w="198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错误率</w:t>
            </w:r>
          </w:p>
        </w:tc>
        <w:tc>
          <w:tcPr>
            <w:tcW w:w="3402"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系统运行的错误率不高于5%</w:t>
            </w:r>
          </w:p>
        </w:tc>
        <w:tc>
          <w:tcPr>
            <w:tcW w:w="1843"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≤5%</w:t>
            </w:r>
          </w:p>
        </w:tc>
        <w:tc>
          <w:tcPr>
            <w:tcW w:w="215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《河北省应急管理信息化发展规划》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tc>
        <w:tc>
          <w:tcPr>
            <w:tcW w:w="2268"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时效指标</w:t>
            </w:r>
          </w:p>
        </w:tc>
        <w:tc>
          <w:tcPr>
            <w:tcW w:w="198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按计划完成</w:t>
            </w:r>
          </w:p>
        </w:tc>
        <w:tc>
          <w:tcPr>
            <w:tcW w:w="3402"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2022年底前投入使用</w:t>
            </w:r>
          </w:p>
        </w:tc>
        <w:tc>
          <w:tcPr>
            <w:tcW w:w="1843"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100%</w:t>
            </w:r>
          </w:p>
        </w:tc>
        <w:tc>
          <w:tcPr>
            <w:tcW w:w="215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《河北省应急管理信息化发展规划》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tc>
        <w:tc>
          <w:tcPr>
            <w:tcW w:w="2268"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成本指标</w:t>
            </w:r>
          </w:p>
        </w:tc>
        <w:tc>
          <w:tcPr>
            <w:tcW w:w="198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不高于预算</w:t>
            </w:r>
          </w:p>
        </w:tc>
        <w:tc>
          <w:tcPr>
            <w:tcW w:w="3402"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不超过当年预算</w:t>
            </w:r>
          </w:p>
        </w:tc>
        <w:tc>
          <w:tcPr>
            <w:tcW w:w="1843"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≤31万元</w:t>
            </w:r>
          </w:p>
        </w:tc>
        <w:tc>
          <w:tcPr>
            <w:tcW w:w="215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《河北省应急管理信息化发展规划》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shd w:val="clear" w:color="auto" w:fill="auto"/>
            <w:vAlign w:val="center"/>
          </w:tcPr>
          <w:p>
            <w:pPr>
              <w:spacing w:line="300" w:lineRule="exact"/>
              <w:jc w:val="center"/>
              <w:rPr>
                <w:rFonts w:ascii="Times New Roman" w:hAnsi="Times New Roman" w:eastAsia="仿宋_GB2312" w:cs="Times New Roman"/>
              </w:rPr>
            </w:pPr>
            <w:r>
              <w:rPr>
                <w:rFonts w:ascii="Times New Roman" w:hAnsi="Times New Roman" w:eastAsia="仿宋_GB2312" w:cs="Times New Roman"/>
              </w:rPr>
              <w:t>效果指标</w:t>
            </w:r>
          </w:p>
        </w:tc>
        <w:tc>
          <w:tcPr>
            <w:tcW w:w="2268"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社会效益指标</w:t>
            </w:r>
          </w:p>
        </w:tc>
        <w:tc>
          <w:tcPr>
            <w:tcW w:w="198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提高应急管理信息化水平</w:t>
            </w:r>
          </w:p>
        </w:tc>
        <w:tc>
          <w:tcPr>
            <w:tcW w:w="3402"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提高应急管理信息化水平</w:t>
            </w:r>
          </w:p>
        </w:tc>
        <w:tc>
          <w:tcPr>
            <w:tcW w:w="1843"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提高</w:t>
            </w:r>
          </w:p>
        </w:tc>
        <w:tc>
          <w:tcPr>
            <w:tcW w:w="215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《河北省应急管理信息化发展规划》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shd w:val="clear" w:color="auto" w:fill="auto"/>
            <w:vAlign w:val="center"/>
          </w:tcPr>
          <w:p>
            <w:pPr>
              <w:spacing w:line="300" w:lineRule="exact"/>
              <w:jc w:val="center"/>
              <w:rPr>
                <w:rFonts w:ascii="Times New Roman" w:hAnsi="Times New Roman" w:eastAsia="仿宋_GB2312" w:cs="Times New Roman"/>
              </w:rPr>
            </w:pPr>
            <w:r>
              <w:rPr>
                <w:rFonts w:ascii="Times New Roman" w:hAnsi="Times New Roman" w:eastAsia="仿宋_GB2312" w:cs="Times New Roman"/>
              </w:rPr>
              <w:t>满意度指标</w:t>
            </w:r>
          </w:p>
        </w:tc>
        <w:tc>
          <w:tcPr>
            <w:tcW w:w="2268"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服务对象满意度指标</w:t>
            </w:r>
          </w:p>
        </w:tc>
        <w:tc>
          <w:tcPr>
            <w:tcW w:w="198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用户满意度</w:t>
            </w:r>
          </w:p>
        </w:tc>
        <w:tc>
          <w:tcPr>
            <w:tcW w:w="3402"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用户满意度</w:t>
            </w:r>
          </w:p>
        </w:tc>
        <w:tc>
          <w:tcPr>
            <w:tcW w:w="1843"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≥95%</w:t>
            </w:r>
          </w:p>
        </w:tc>
        <w:tc>
          <w:tcPr>
            <w:tcW w:w="215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问卷调查</w:t>
            </w:r>
          </w:p>
        </w:tc>
      </w:tr>
    </w:tbl>
    <w:p>
      <w:pPr>
        <w:ind w:firstLine="560" w:firstLineChars="200"/>
        <w:jc w:val="left"/>
        <w:outlineLvl w:val="1"/>
        <w:rPr>
          <w:rFonts w:hint="eastAsia" w:ascii="Times New Roman" w:hAnsi="Times New Roman" w:eastAsia="仿宋_GB2312" w:cs="Times New Roman"/>
          <w:sz w:val="28"/>
          <w:lang w:val="en-US" w:eastAsia="zh-CN"/>
        </w:rPr>
      </w:pPr>
    </w:p>
    <w:p>
      <w:pPr>
        <w:ind w:firstLine="560" w:firstLineChars="200"/>
        <w:jc w:val="left"/>
        <w:outlineLvl w:val="1"/>
        <w:rPr>
          <w:rFonts w:hint="eastAsia" w:ascii="Times New Roman" w:hAnsi="Times New Roman" w:eastAsia="仿宋_GB2312" w:cs="Times New Roman"/>
          <w:sz w:val="28"/>
          <w:lang w:val="en-US" w:eastAsia="zh-CN"/>
        </w:rPr>
      </w:pPr>
    </w:p>
    <w:p>
      <w:pPr>
        <w:ind w:firstLine="560" w:firstLineChars="200"/>
        <w:jc w:val="left"/>
        <w:outlineLvl w:val="1"/>
        <w:rPr>
          <w:rFonts w:hint="eastAsia" w:ascii="Times New Roman" w:hAnsi="Times New Roman" w:eastAsia="仿宋_GB2312" w:cs="Times New Roman"/>
          <w:sz w:val="28"/>
          <w:lang w:val="en-US" w:eastAsia="zh-CN"/>
        </w:rPr>
      </w:pPr>
    </w:p>
    <w:p>
      <w:pPr>
        <w:ind w:firstLine="560" w:firstLineChars="200"/>
        <w:jc w:val="left"/>
        <w:outlineLvl w:val="1"/>
        <w:rPr>
          <w:rFonts w:hint="eastAsia" w:ascii="Times New Roman" w:hAnsi="Times New Roman" w:eastAsia="仿宋_GB2312" w:cs="Times New Roman"/>
          <w:sz w:val="28"/>
          <w:lang w:val="en-US" w:eastAsia="zh-CN"/>
        </w:rPr>
      </w:pPr>
    </w:p>
    <w:p>
      <w:pPr>
        <w:ind w:firstLine="640" w:firstLineChars="200"/>
        <w:jc w:val="left"/>
        <w:outlineLvl w:val="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16.应急管理信息平台运行维护经费绩效目标表</w:t>
      </w:r>
    </w:p>
    <w:p>
      <w:pPr>
        <w:spacing w:line="14" w:lineRule="exact"/>
        <w:ind w:firstLine="420" w:firstLineChars="200"/>
        <w:jc w:val="center"/>
        <w:rPr>
          <w:rFonts w:ascii="Times New Roman" w:hAnsi="Times New Roman" w:eastAsia="仿宋_GB2312" w:cs="Times New Roman"/>
        </w:rPr>
      </w:pPr>
    </w:p>
    <w:tbl>
      <w:tblPr>
        <w:tblStyle w:val="9"/>
        <w:tblW w:w="1406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09"/>
        <w:gridCol w:w="2268"/>
        <w:gridCol w:w="1985"/>
        <w:gridCol w:w="3402"/>
        <w:gridCol w:w="1843"/>
        <w:gridCol w:w="215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2409"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绩效目标</w:t>
            </w:r>
          </w:p>
        </w:tc>
        <w:tc>
          <w:tcPr>
            <w:tcW w:w="11653" w:type="dxa"/>
            <w:gridSpan w:val="5"/>
            <w:shd w:val="clear" w:color="auto" w:fill="auto"/>
            <w:vAlign w:val="center"/>
          </w:tcPr>
          <w:p>
            <w:pPr>
              <w:spacing w:line="300" w:lineRule="exact"/>
              <w:rPr>
                <w:rFonts w:ascii="Times New Roman" w:hAnsi="Times New Roman" w:eastAsia="仿宋_GB2312" w:cs="Times New Roman"/>
                <w:b/>
              </w:rPr>
            </w:pPr>
            <w:r>
              <w:rPr>
                <w:rFonts w:hint="eastAsia" w:ascii="仿宋_GB2312" w:hAnsi="仿宋_GB2312" w:eastAsia="仿宋_GB2312" w:cs="仿宋_GB2312"/>
              </w:rPr>
              <w:t>1.通过对设备及系统的有效保障，努力实现各类系统全年无故障运行时间达到300天以上；各类系统故障恢复时间达到48小时以内。关键系统恢复时间达到2小时以内。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2409"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一级指标</w:t>
            </w:r>
          </w:p>
        </w:tc>
        <w:tc>
          <w:tcPr>
            <w:tcW w:w="2268"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二级指标</w:t>
            </w:r>
          </w:p>
        </w:tc>
        <w:tc>
          <w:tcPr>
            <w:tcW w:w="1985"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三级指标</w:t>
            </w:r>
          </w:p>
        </w:tc>
        <w:tc>
          <w:tcPr>
            <w:tcW w:w="3402"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绩效指标描述</w:t>
            </w:r>
          </w:p>
        </w:tc>
        <w:tc>
          <w:tcPr>
            <w:tcW w:w="1843"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指标值</w:t>
            </w:r>
          </w:p>
        </w:tc>
        <w:tc>
          <w:tcPr>
            <w:tcW w:w="2155"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restart"/>
            <w:shd w:val="clear" w:color="auto" w:fill="auto"/>
            <w:vAlign w:val="center"/>
          </w:tcPr>
          <w:p>
            <w:pPr>
              <w:spacing w:line="300" w:lineRule="exact"/>
              <w:jc w:val="center"/>
              <w:rPr>
                <w:rFonts w:ascii="Times New Roman" w:hAnsi="Times New Roman" w:eastAsia="仿宋_GB2312" w:cs="Times New Roman"/>
              </w:rPr>
            </w:pPr>
            <w:r>
              <w:rPr>
                <w:rFonts w:ascii="Times New Roman" w:hAnsi="Times New Roman" w:eastAsia="仿宋_GB2312" w:cs="Times New Roman"/>
              </w:rPr>
              <w:t>产出指标</w:t>
            </w:r>
          </w:p>
        </w:tc>
        <w:tc>
          <w:tcPr>
            <w:tcW w:w="2268"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数量指标</w:t>
            </w:r>
          </w:p>
        </w:tc>
        <w:tc>
          <w:tcPr>
            <w:tcW w:w="198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运行时间</w:t>
            </w:r>
          </w:p>
        </w:tc>
        <w:tc>
          <w:tcPr>
            <w:tcW w:w="3402"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全年系统无故障运行时间</w:t>
            </w:r>
          </w:p>
        </w:tc>
        <w:tc>
          <w:tcPr>
            <w:tcW w:w="1843"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≥300天　</w:t>
            </w:r>
          </w:p>
        </w:tc>
        <w:tc>
          <w:tcPr>
            <w:tcW w:w="215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tc>
        <w:tc>
          <w:tcPr>
            <w:tcW w:w="2268"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质量指标</w:t>
            </w:r>
          </w:p>
        </w:tc>
        <w:tc>
          <w:tcPr>
            <w:tcW w:w="198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工作任务完成率</w:t>
            </w:r>
          </w:p>
        </w:tc>
        <w:tc>
          <w:tcPr>
            <w:tcW w:w="3402"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工作任务完成率</w:t>
            </w:r>
          </w:p>
        </w:tc>
        <w:tc>
          <w:tcPr>
            <w:tcW w:w="1843"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100%　</w:t>
            </w:r>
          </w:p>
        </w:tc>
        <w:tc>
          <w:tcPr>
            <w:tcW w:w="215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既定目标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tc>
        <w:tc>
          <w:tcPr>
            <w:tcW w:w="2268"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时效指标</w:t>
            </w:r>
          </w:p>
        </w:tc>
        <w:tc>
          <w:tcPr>
            <w:tcW w:w="198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故障恢复时间</w:t>
            </w:r>
          </w:p>
        </w:tc>
        <w:tc>
          <w:tcPr>
            <w:tcW w:w="3402"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系统故障恢复时间</w:t>
            </w:r>
          </w:p>
        </w:tc>
        <w:tc>
          <w:tcPr>
            <w:tcW w:w="1843"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&lt;48小时</w:t>
            </w:r>
          </w:p>
        </w:tc>
        <w:tc>
          <w:tcPr>
            <w:tcW w:w="215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tc>
        <w:tc>
          <w:tcPr>
            <w:tcW w:w="2268"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成本指标</w:t>
            </w:r>
          </w:p>
        </w:tc>
        <w:tc>
          <w:tcPr>
            <w:tcW w:w="198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不超过年度预算</w:t>
            </w:r>
          </w:p>
        </w:tc>
        <w:tc>
          <w:tcPr>
            <w:tcW w:w="3402"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不超过年度预算</w:t>
            </w:r>
          </w:p>
        </w:tc>
        <w:tc>
          <w:tcPr>
            <w:tcW w:w="1843"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≤38万元</w:t>
            </w:r>
          </w:p>
        </w:tc>
        <w:tc>
          <w:tcPr>
            <w:tcW w:w="215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《预算法》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shd w:val="clear" w:color="auto" w:fill="auto"/>
            <w:vAlign w:val="center"/>
          </w:tcPr>
          <w:p>
            <w:pPr>
              <w:spacing w:line="300" w:lineRule="exact"/>
              <w:jc w:val="center"/>
              <w:rPr>
                <w:rFonts w:ascii="Times New Roman" w:hAnsi="Times New Roman" w:eastAsia="仿宋_GB2312" w:cs="Times New Roman"/>
              </w:rPr>
            </w:pPr>
            <w:r>
              <w:rPr>
                <w:rFonts w:ascii="Times New Roman" w:hAnsi="Times New Roman" w:eastAsia="仿宋_GB2312" w:cs="Times New Roman"/>
              </w:rPr>
              <w:t>效果指标</w:t>
            </w:r>
          </w:p>
        </w:tc>
        <w:tc>
          <w:tcPr>
            <w:tcW w:w="2268"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社会效益指标</w:t>
            </w:r>
          </w:p>
        </w:tc>
        <w:tc>
          <w:tcPr>
            <w:tcW w:w="198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提升应急管理工作信息化保障能力</w:t>
            </w:r>
          </w:p>
        </w:tc>
        <w:tc>
          <w:tcPr>
            <w:tcW w:w="3402"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提升应急管理工作信息化保障能力</w:t>
            </w:r>
          </w:p>
        </w:tc>
        <w:tc>
          <w:tcPr>
            <w:tcW w:w="1843"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提升</w:t>
            </w:r>
          </w:p>
        </w:tc>
        <w:tc>
          <w:tcPr>
            <w:tcW w:w="215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shd w:val="clear" w:color="auto" w:fill="auto"/>
            <w:vAlign w:val="center"/>
          </w:tcPr>
          <w:p>
            <w:pPr>
              <w:spacing w:line="300" w:lineRule="exact"/>
              <w:jc w:val="center"/>
              <w:rPr>
                <w:rFonts w:ascii="Times New Roman" w:hAnsi="Times New Roman" w:eastAsia="仿宋_GB2312" w:cs="Times New Roman"/>
              </w:rPr>
            </w:pPr>
            <w:r>
              <w:rPr>
                <w:rFonts w:ascii="Times New Roman" w:hAnsi="Times New Roman" w:eastAsia="仿宋_GB2312" w:cs="Times New Roman"/>
              </w:rPr>
              <w:t>满意度指标</w:t>
            </w:r>
          </w:p>
        </w:tc>
        <w:tc>
          <w:tcPr>
            <w:tcW w:w="2268"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服务对象满意度指标</w:t>
            </w:r>
          </w:p>
        </w:tc>
        <w:tc>
          <w:tcPr>
            <w:tcW w:w="198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系统稳定性满意度　</w:t>
            </w:r>
          </w:p>
        </w:tc>
        <w:tc>
          <w:tcPr>
            <w:tcW w:w="3402"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系统使用人员满意率　</w:t>
            </w:r>
          </w:p>
        </w:tc>
        <w:tc>
          <w:tcPr>
            <w:tcW w:w="1843"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≥95%　</w:t>
            </w:r>
          </w:p>
        </w:tc>
        <w:tc>
          <w:tcPr>
            <w:tcW w:w="215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调查问卷</w:t>
            </w:r>
          </w:p>
        </w:tc>
      </w:tr>
    </w:tbl>
    <w:p>
      <w:pPr>
        <w:ind w:firstLine="560" w:firstLineChars="200"/>
        <w:jc w:val="left"/>
        <w:outlineLvl w:val="1"/>
        <w:rPr>
          <w:rFonts w:hint="eastAsia" w:ascii="Times New Roman" w:hAnsi="Times New Roman" w:eastAsia="仿宋_GB2312" w:cs="Times New Roman"/>
          <w:sz w:val="28"/>
          <w:lang w:val="en-US" w:eastAsia="zh-CN"/>
        </w:rPr>
      </w:pPr>
    </w:p>
    <w:p>
      <w:pPr>
        <w:ind w:firstLine="560" w:firstLineChars="200"/>
        <w:jc w:val="left"/>
        <w:outlineLvl w:val="1"/>
        <w:rPr>
          <w:rFonts w:hint="eastAsia" w:ascii="Times New Roman" w:hAnsi="Times New Roman" w:eastAsia="仿宋_GB2312" w:cs="Times New Roman"/>
          <w:sz w:val="28"/>
          <w:lang w:val="en-US" w:eastAsia="zh-CN"/>
        </w:rPr>
      </w:pPr>
    </w:p>
    <w:p>
      <w:pPr>
        <w:ind w:firstLine="560" w:firstLineChars="200"/>
        <w:jc w:val="left"/>
        <w:outlineLvl w:val="1"/>
        <w:rPr>
          <w:rFonts w:hint="eastAsia" w:ascii="Times New Roman" w:hAnsi="Times New Roman" w:eastAsia="仿宋_GB2312" w:cs="Times New Roman"/>
          <w:sz w:val="28"/>
          <w:lang w:val="en-US" w:eastAsia="zh-CN"/>
        </w:rPr>
      </w:pPr>
    </w:p>
    <w:p>
      <w:pPr>
        <w:ind w:firstLine="560" w:firstLineChars="200"/>
        <w:jc w:val="left"/>
        <w:outlineLvl w:val="1"/>
        <w:rPr>
          <w:rFonts w:hint="eastAsia" w:ascii="Times New Roman" w:hAnsi="Times New Roman" w:eastAsia="仿宋_GB2312" w:cs="Times New Roman"/>
          <w:sz w:val="28"/>
          <w:lang w:val="en-US" w:eastAsia="zh-CN"/>
        </w:rPr>
      </w:pPr>
    </w:p>
    <w:p>
      <w:pPr>
        <w:ind w:firstLine="560" w:firstLineChars="200"/>
        <w:jc w:val="left"/>
        <w:outlineLvl w:val="1"/>
        <w:rPr>
          <w:rFonts w:hint="eastAsia" w:ascii="Times New Roman" w:hAnsi="Times New Roman" w:eastAsia="仿宋_GB2312" w:cs="Times New Roman"/>
          <w:sz w:val="28"/>
          <w:lang w:val="en-US" w:eastAsia="zh-CN"/>
        </w:rPr>
      </w:pPr>
    </w:p>
    <w:p>
      <w:pPr>
        <w:ind w:firstLine="560" w:firstLineChars="200"/>
        <w:jc w:val="left"/>
        <w:outlineLvl w:val="1"/>
        <w:rPr>
          <w:rFonts w:hint="eastAsia" w:ascii="Times New Roman" w:hAnsi="Times New Roman" w:eastAsia="仿宋_GB2312" w:cs="Times New Roman"/>
          <w:sz w:val="28"/>
          <w:lang w:val="en-US" w:eastAsia="zh-CN"/>
        </w:rPr>
      </w:pPr>
    </w:p>
    <w:p>
      <w:pPr>
        <w:ind w:firstLine="640" w:firstLineChars="200"/>
        <w:jc w:val="left"/>
        <w:outlineLvl w:val="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17.应急管理执法终端购置经费绩效目标表</w:t>
      </w:r>
    </w:p>
    <w:p>
      <w:pPr>
        <w:spacing w:line="14" w:lineRule="exact"/>
        <w:ind w:firstLine="420" w:firstLineChars="200"/>
        <w:jc w:val="center"/>
        <w:rPr>
          <w:rFonts w:ascii="Times New Roman" w:hAnsi="Times New Roman" w:eastAsia="仿宋_GB2312" w:cs="Times New Roman"/>
        </w:rPr>
      </w:pPr>
    </w:p>
    <w:tbl>
      <w:tblPr>
        <w:tblStyle w:val="9"/>
        <w:tblW w:w="1406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09"/>
        <w:gridCol w:w="2268"/>
        <w:gridCol w:w="1985"/>
        <w:gridCol w:w="3402"/>
        <w:gridCol w:w="1843"/>
        <w:gridCol w:w="215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2409"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绩效目标</w:t>
            </w:r>
          </w:p>
        </w:tc>
        <w:tc>
          <w:tcPr>
            <w:tcW w:w="11653" w:type="dxa"/>
            <w:gridSpan w:val="5"/>
            <w:shd w:val="clear" w:color="auto" w:fill="auto"/>
            <w:vAlign w:val="center"/>
          </w:tcPr>
          <w:p>
            <w:pPr>
              <w:spacing w:line="300" w:lineRule="exact"/>
              <w:rPr>
                <w:rFonts w:ascii="Times New Roman" w:hAnsi="Times New Roman" w:eastAsia="仿宋_GB2312" w:cs="Times New Roman"/>
                <w:b/>
              </w:rPr>
            </w:pPr>
            <w:r>
              <w:rPr>
                <w:rFonts w:hint="eastAsia" w:ascii="仿宋_GB2312" w:hAnsi="仿宋_GB2312" w:eastAsia="仿宋_GB2312" w:cs="仿宋_GB2312"/>
              </w:rPr>
              <w:t>1.解决好应急管理工作监管监察力量不足与监管监察新形势新任务的要求不相适应的问题。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2409"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一级指标</w:t>
            </w:r>
          </w:p>
        </w:tc>
        <w:tc>
          <w:tcPr>
            <w:tcW w:w="2268"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二级指标</w:t>
            </w:r>
          </w:p>
        </w:tc>
        <w:tc>
          <w:tcPr>
            <w:tcW w:w="1985"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三级指标</w:t>
            </w:r>
          </w:p>
        </w:tc>
        <w:tc>
          <w:tcPr>
            <w:tcW w:w="3402"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绩效指标描述</w:t>
            </w:r>
          </w:p>
        </w:tc>
        <w:tc>
          <w:tcPr>
            <w:tcW w:w="1843"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指标值</w:t>
            </w:r>
          </w:p>
        </w:tc>
        <w:tc>
          <w:tcPr>
            <w:tcW w:w="2155"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restart"/>
            <w:shd w:val="clear" w:color="auto" w:fill="auto"/>
            <w:vAlign w:val="center"/>
          </w:tcPr>
          <w:p>
            <w:pPr>
              <w:spacing w:line="300" w:lineRule="exact"/>
              <w:jc w:val="center"/>
              <w:rPr>
                <w:rFonts w:ascii="Times New Roman" w:hAnsi="Times New Roman" w:eastAsia="仿宋_GB2312" w:cs="Times New Roman"/>
              </w:rPr>
            </w:pPr>
            <w:r>
              <w:rPr>
                <w:rFonts w:ascii="Times New Roman" w:hAnsi="Times New Roman" w:eastAsia="仿宋_GB2312" w:cs="Times New Roman"/>
              </w:rPr>
              <w:t>产出指标</w:t>
            </w:r>
          </w:p>
        </w:tc>
        <w:tc>
          <w:tcPr>
            <w:tcW w:w="2268"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数量指标</w:t>
            </w:r>
          </w:p>
        </w:tc>
        <w:tc>
          <w:tcPr>
            <w:tcW w:w="198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执法终端数</w:t>
            </w:r>
          </w:p>
        </w:tc>
        <w:tc>
          <w:tcPr>
            <w:tcW w:w="3402"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执法终端数</w:t>
            </w:r>
          </w:p>
        </w:tc>
        <w:tc>
          <w:tcPr>
            <w:tcW w:w="1843"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25台</w:t>
            </w:r>
          </w:p>
        </w:tc>
        <w:tc>
          <w:tcPr>
            <w:tcW w:w="215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冀安监管办〔2017〕14号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tc>
        <w:tc>
          <w:tcPr>
            <w:tcW w:w="2268"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质量指标</w:t>
            </w:r>
          </w:p>
        </w:tc>
        <w:tc>
          <w:tcPr>
            <w:tcW w:w="198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执法终端合格率</w:t>
            </w:r>
          </w:p>
        </w:tc>
        <w:tc>
          <w:tcPr>
            <w:tcW w:w="3402"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执法终端合格率</w:t>
            </w:r>
          </w:p>
        </w:tc>
        <w:tc>
          <w:tcPr>
            <w:tcW w:w="1843"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≥99%</w:t>
            </w:r>
          </w:p>
        </w:tc>
        <w:tc>
          <w:tcPr>
            <w:tcW w:w="215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冀安监管办〔2017〕14号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tc>
        <w:tc>
          <w:tcPr>
            <w:tcW w:w="2268"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时效指标</w:t>
            </w:r>
          </w:p>
        </w:tc>
        <w:tc>
          <w:tcPr>
            <w:tcW w:w="198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及时保障率</w:t>
            </w:r>
          </w:p>
        </w:tc>
        <w:tc>
          <w:tcPr>
            <w:tcW w:w="3402"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及时保障率</w:t>
            </w:r>
          </w:p>
        </w:tc>
        <w:tc>
          <w:tcPr>
            <w:tcW w:w="1843"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按时配置到位</w:t>
            </w:r>
          </w:p>
        </w:tc>
        <w:tc>
          <w:tcPr>
            <w:tcW w:w="215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冀安监管办〔2017〕14号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tc>
        <w:tc>
          <w:tcPr>
            <w:tcW w:w="2268"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成本指标</w:t>
            </w:r>
          </w:p>
        </w:tc>
        <w:tc>
          <w:tcPr>
            <w:tcW w:w="198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成本预算</w:t>
            </w:r>
          </w:p>
        </w:tc>
        <w:tc>
          <w:tcPr>
            <w:tcW w:w="3402"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按照25个×3500元/个标准</w:t>
            </w:r>
          </w:p>
        </w:tc>
        <w:tc>
          <w:tcPr>
            <w:tcW w:w="1843"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≤3500元</w:t>
            </w:r>
          </w:p>
        </w:tc>
        <w:tc>
          <w:tcPr>
            <w:tcW w:w="215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冀安监管办〔2017〕14号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shd w:val="clear" w:color="auto" w:fill="auto"/>
            <w:vAlign w:val="center"/>
          </w:tcPr>
          <w:p>
            <w:pPr>
              <w:spacing w:line="300" w:lineRule="exact"/>
              <w:jc w:val="center"/>
              <w:rPr>
                <w:rFonts w:ascii="Times New Roman" w:hAnsi="Times New Roman" w:eastAsia="仿宋_GB2312" w:cs="Times New Roman"/>
              </w:rPr>
            </w:pPr>
            <w:r>
              <w:rPr>
                <w:rFonts w:ascii="Times New Roman" w:hAnsi="Times New Roman" w:eastAsia="仿宋_GB2312" w:cs="Times New Roman"/>
              </w:rPr>
              <w:t>效果指标</w:t>
            </w:r>
          </w:p>
        </w:tc>
        <w:tc>
          <w:tcPr>
            <w:tcW w:w="2268"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社会效益指标</w:t>
            </w:r>
          </w:p>
        </w:tc>
        <w:tc>
          <w:tcPr>
            <w:tcW w:w="198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执法效率</w:t>
            </w:r>
          </w:p>
        </w:tc>
        <w:tc>
          <w:tcPr>
            <w:tcW w:w="3402"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执法过程高效、便捷</w:t>
            </w:r>
          </w:p>
        </w:tc>
        <w:tc>
          <w:tcPr>
            <w:tcW w:w="1843"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100%</w:t>
            </w:r>
          </w:p>
        </w:tc>
        <w:tc>
          <w:tcPr>
            <w:tcW w:w="215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冀安监管办〔2017〕14号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shd w:val="clear" w:color="auto" w:fill="auto"/>
            <w:vAlign w:val="center"/>
          </w:tcPr>
          <w:p>
            <w:pPr>
              <w:spacing w:line="300" w:lineRule="exact"/>
              <w:jc w:val="center"/>
              <w:rPr>
                <w:rFonts w:ascii="Times New Roman" w:hAnsi="Times New Roman" w:eastAsia="仿宋_GB2312" w:cs="Times New Roman"/>
              </w:rPr>
            </w:pPr>
            <w:r>
              <w:rPr>
                <w:rFonts w:ascii="Times New Roman" w:hAnsi="Times New Roman" w:eastAsia="仿宋_GB2312" w:cs="Times New Roman"/>
              </w:rPr>
              <w:t>满意度指标</w:t>
            </w:r>
          </w:p>
        </w:tc>
        <w:tc>
          <w:tcPr>
            <w:tcW w:w="2268"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服务对象满意度指标</w:t>
            </w:r>
          </w:p>
        </w:tc>
        <w:tc>
          <w:tcPr>
            <w:tcW w:w="198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群众满意度</w:t>
            </w:r>
          </w:p>
        </w:tc>
        <w:tc>
          <w:tcPr>
            <w:tcW w:w="3402"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群众满意度</w:t>
            </w:r>
          </w:p>
        </w:tc>
        <w:tc>
          <w:tcPr>
            <w:tcW w:w="1843"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≥95%</w:t>
            </w:r>
          </w:p>
        </w:tc>
        <w:tc>
          <w:tcPr>
            <w:tcW w:w="215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问卷调查</w:t>
            </w:r>
          </w:p>
        </w:tc>
      </w:tr>
    </w:tbl>
    <w:p>
      <w:pPr>
        <w:ind w:firstLine="560" w:firstLineChars="200"/>
        <w:jc w:val="left"/>
        <w:outlineLvl w:val="1"/>
        <w:rPr>
          <w:rFonts w:hint="eastAsia" w:ascii="Times New Roman" w:hAnsi="Times New Roman" w:eastAsia="仿宋_GB2312" w:cs="Times New Roman"/>
          <w:sz w:val="28"/>
          <w:lang w:val="en-US" w:eastAsia="zh-CN"/>
        </w:rPr>
      </w:pPr>
    </w:p>
    <w:p>
      <w:pPr>
        <w:ind w:firstLine="560" w:firstLineChars="200"/>
        <w:jc w:val="left"/>
        <w:outlineLvl w:val="1"/>
        <w:rPr>
          <w:rFonts w:hint="eastAsia" w:ascii="Times New Roman" w:hAnsi="Times New Roman" w:eastAsia="仿宋_GB2312" w:cs="Times New Roman"/>
          <w:sz w:val="28"/>
          <w:lang w:val="en-US" w:eastAsia="zh-CN"/>
        </w:rPr>
      </w:pPr>
    </w:p>
    <w:p>
      <w:pPr>
        <w:ind w:firstLine="560" w:firstLineChars="200"/>
        <w:jc w:val="left"/>
        <w:outlineLvl w:val="1"/>
        <w:rPr>
          <w:rFonts w:hint="eastAsia" w:ascii="Times New Roman" w:hAnsi="Times New Roman" w:eastAsia="仿宋_GB2312" w:cs="Times New Roman"/>
          <w:sz w:val="28"/>
          <w:lang w:val="en-US" w:eastAsia="zh-CN"/>
        </w:rPr>
      </w:pPr>
    </w:p>
    <w:p>
      <w:pPr>
        <w:ind w:firstLine="560" w:firstLineChars="200"/>
        <w:jc w:val="left"/>
        <w:outlineLvl w:val="1"/>
        <w:rPr>
          <w:rFonts w:hint="eastAsia" w:ascii="Times New Roman" w:hAnsi="Times New Roman" w:eastAsia="仿宋_GB2312" w:cs="Times New Roman"/>
          <w:sz w:val="28"/>
          <w:lang w:val="en-US" w:eastAsia="zh-CN"/>
        </w:rPr>
      </w:pPr>
    </w:p>
    <w:p>
      <w:pPr>
        <w:ind w:firstLine="560" w:firstLineChars="200"/>
        <w:jc w:val="left"/>
        <w:outlineLvl w:val="1"/>
        <w:rPr>
          <w:rFonts w:hint="eastAsia" w:ascii="Times New Roman" w:hAnsi="Times New Roman" w:eastAsia="仿宋_GB2312" w:cs="Times New Roman"/>
          <w:sz w:val="28"/>
          <w:lang w:val="en-US" w:eastAsia="zh-CN"/>
        </w:rPr>
      </w:pPr>
    </w:p>
    <w:p>
      <w:pPr>
        <w:ind w:firstLine="640" w:firstLineChars="200"/>
        <w:jc w:val="left"/>
        <w:outlineLvl w:val="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18.应急通信保障能力提升工程市级配套资金绩效目标表</w:t>
      </w:r>
    </w:p>
    <w:p>
      <w:pPr>
        <w:spacing w:line="14" w:lineRule="exact"/>
        <w:ind w:firstLine="420" w:firstLineChars="200"/>
        <w:jc w:val="center"/>
        <w:rPr>
          <w:rFonts w:ascii="Times New Roman" w:hAnsi="Times New Roman" w:eastAsia="仿宋_GB2312" w:cs="Times New Roman"/>
        </w:rPr>
      </w:pPr>
    </w:p>
    <w:tbl>
      <w:tblPr>
        <w:tblStyle w:val="9"/>
        <w:tblW w:w="1406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09"/>
        <w:gridCol w:w="2268"/>
        <w:gridCol w:w="1985"/>
        <w:gridCol w:w="3402"/>
        <w:gridCol w:w="1843"/>
        <w:gridCol w:w="215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2409"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绩效目标</w:t>
            </w:r>
          </w:p>
        </w:tc>
        <w:tc>
          <w:tcPr>
            <w:tcW w:w="11653" w:type="dxa"/>
            <w:gridSpan w:val="5"/>
            <w:shd w:val="clear" w:color="auto" w:fill="auto"/>
            <w:vAlign w:val="center"/>
          </w:tcPr>
          <w:p>
            <w:pPr>
              <w:spacing w:line="300" w:lineRule="exact"/>
              <w:rPr>
                <w:rFonts w:ascii="Times New Roman" w:hAnsi="Times New Roman" w:eastAsia="仿宋_GB2312" w:cs="Times New Roman"/>
                <w:b/>
              </w:rPr>
            </w:pPr>
            <w:r>
              <w:rPr>
                <w:rFonts w:hint="eastAsia" w:ascii="仿宋_GB2312" w:hAnsi="仿宋_GB2312" w:eastAsia="仿宋_GB2312" w:cs="仿宋_GB2312"/>
              </w:rPr>
              <w:t>1.通过项目完成，达到提高重大活动的应急通信保障能力。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2409"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一级指标</w:t>
            </w:r>
          </w:p>
        </w:tc>
        <w:tc>
          <w:tcPr>
            <w:tcW w:w="2268"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二级指标</w:t>
            </w:r>
          </w:p>
        </w:tc>
        <w:tc>
          <w:tcPr>
            <w:tcW w:w="1985"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三级指标</w:t>
            </w:r>
          </w:p>
        </w:tc>
        <w:tc>
          <w:tcPr>
            <w:tcW w:w="3402"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绩效指标描述</w:t>
            </w:r>
          </w:p>
        </w:tc>
        <w:tc>
          <w:tcPr>
            <w:tcW w:w="1843"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指标值</w:t>
            </w:r>
          </w:p>
        </w:tc>
        <w:tc>
          <w:tcPr>
            <w:tcW w:w="2155"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restart"/>
            <w:shd w:val="clear" w:color="auto" w:fill="auto"/>
            <w:vAlign w:val="center"/>
          </w:tcPr>
          <w:p>
            <w:pPr>
              <w:spacing w:line="300" w:lineRule="exact"/>
              <w:jc w:val="center"/>
              <w:rPr>
                <w:rFonts w:ascii="Times New Roman" w:hAnsi="Times New Roman" w:eastAsia="仿宋_GB2312" w:cs="Times New Roman"/>
              </w:rPr>
            </w:pPr>
            <w:r>
              <w:rPr>
                <w:rFonts w:ascii="Times New Roman" w:hAnsi="Times New Roman" w:eastAsia="仿宋_GB2312" w:cs="Times New Roman"/>
              </w:rPr>
              <w:t>产出指标</w:t>
            </w:r>
          </w:p>
        </w:tc>
        <w:tc>
          <w:tcPr>
            <w:tcW w:w="2268"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数量指标</w:t>
            </w:r>
          </w:p>
        </w:tc>
        <w:tc>
          <w:tcPr>
            <w:tcW w:w="198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设备件数</w:t>
            </w:r>
          </w:p>
        </w:tc>
        <w:tc>
          <w:tcPr>
            <w:tcW w:w="3402"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设备件数</w:t>
            </w:r>
          </w:p>
        </w:tc>
        <w:tc>
          <w:tcPr>
            <w:tcW w:w="1843"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58台（套）</w:t>
            </w:r>
          </w:p>
        </w:tc>
        <w:tc>
          <w:tcPr>
            <w:tcW w:w="215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《关于加快推进河北省重大活动应急通信保障能力提升工程项目建设的通知》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tc>
        <w:tc>
          <w:tcPr>
            <w:tcW w:w="2268"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质量指标</w:t>
            </w:r>
          </w:p>
        </w:tc>
        <w:tc>
          <w:tcPr>
            <w:tcW w:w="198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错误率</w:t>
            </w:r>
          </w:p>
        </w:tc>
        <w:tc>
          <w:tcPr>
            <w:tcW w:w="3402"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系统运行错误率</w:t>
            </w:r>
          </w:p>
        </w:tc>
        <w:tc>
          <w:tcPr>
            <w:tcW w:w="1843"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≤5%</w:t>
            </w:r>
          </w:p>
        </w:tc>
        <w:tc>
          <w:tcPr>
            <w:tcW w:w="215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《关于加快推进河北省重大活动应急通信保障能力提升工程项目建设的通知》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tc>
        <w:tc>
          <w:tcPr>
            <w:tcW w:w="2268"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时效指标</w:t>
            </w:r>
          </w:p>
        </w:tc>
        <w:tc>
          <w:tcPr>
            <w:tcW w:w="198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按计划完成</w:t>
            </w:r>
          </w:p>
        </w:tc>
        <w:tc>
          <w:tcPr>
            <w:tcW w:w="3402"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2022年底前投入使用</w:t>
            </w:r>
          </w:p>
        </w:tc>
        <w:tc>
          <w:tcPr>
            <w:tcW w:w="1843"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按时完成</w:t>
            </w:r>
          </w:p>
        </w:tc>
        <w:tc>
          <w:tcPr>
            <w:tcW w:w="215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《关于加快推进河北省重大活动应急通信保障能力提升工程项目建设的通知》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tc>
        <w:tc>
          <w:tcPr>
            <w:tcW w:w="2268"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成本指标</w:t>
            </w:r>
          </w:p>
        </w:tc>
        <w:tc>
          <w:tcPr>
            <w:tcW w:w="198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不超过预算数</w:t>
            </w:r>
          </w:p>
        </w:tc>
        <w:tc>
          <w:tcPr>
            <w:tcW w:w="3402"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不超过当年预算</w:t>
            </w:r>
          </w:p>
        </w:tc>
        <w:tc>
          <w:tcPr>
            <w:tcW w:w="1843"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≤275.89万元</w:t>
            </w:r>
          </w:p>
        </w:tc>
        <w:tc>
          <w:tcPr>
            <w:tcW w:w="215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《关于加快推进河北省重大活动应急通信保障能力提升工程项目建设的通知》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shd w:val="clear" w:color="auto" w:fill="auto"/>
            <w:vAlign w:val="center"/>
          </w:tcPr>
          <w:p>
            <w:pPr>
              <w:spacing w:line="300" w:lineRule="exact"/>
              <w:jc w:val="center"/>
              <w:rPr>
                <w:rFonts w:ascii="Times New Roman" w:hAnsi="Times New Roman" w:eastAsia="仿宋_GB2312" w:cs="Times New Roman"/>
              </w:rPr>
            </w:pPr>
            <w:r>
              <w:rPr>
                <w:rFonts w:ascii="Times New Roman" w:hAnsi="Times New Roman" w:eastAsia="仿宋_GB2312" w:cs="Times New Roman"/>
              </w:rPr>
              <w:t>效果指标</w:t>
            </w:r>
          </w:p>
        </w:tc>
        <w:tc>
          <w:tcPr>
            <w:tcW w:w="2268"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生态效益指标</w:t>
            </w:r>
          </w:p>
        </w:tc>
        <w:tc>
          <w:tcPr>
            <w:tcW w:w="198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提高重大活动的应急通信保障能力</w:t>
            </w:r>
          </w:p>
        </w:tc>
        <w:tc>
          <w:tcPr>
            <w:tcW w:w="3402"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提高重大活动的应急通信保障能力</w:t>
            </w:r>
          </w:p>
        </w:tc>
        <w:tc>
          <w:tcPr>
            <w:tcW w:w="1843"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提高</w:t>
            </w:r>
          </w:p>
        </w:tc>
        <w:tc>
          <w:tcPr>
            <w:tcW w:w="215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《关于加快推进河北省重大活动应急通信保障能力提升工程项目建设的通知》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shd w:val="clear" w:color="auto" w:fill="auto"/>
            <w:vAlign w:val="center"/>
          </w:tcPr>
          <w:p>
            <w:pPr>
              <w:spacing w:line="300" w:lineRule="exact"/>
              <w:jc w:val="center"/>
              <w:rPr>
                <w:rFonts w:ascii="Times New Roman" w:hAnsi="Times New Roman" w:eastAsia="仿宋_GB2312" w:cs="Times New Roman"/>
              </w:rPr>
            </w:pPr>
            <w:r>
              <w:rPr>
                <w:rFonts w:ascii="Times New Roman" w:hAnsi="Times New Roman" w:eastAsia="仿宋_GB2312" w:cs="Times New Roman"/>
              </w:rPr>
              <w:t>满意度指标</w:t>
            </w:r>
          </w:p>
        </w:tc>
        <w:tc>
          <w:tcPr>
            <w:tcW w:w="2268"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服务对象满意度指标</w:t>
            </w:r>
          </w:p>
        </w:tc>
        <w:tc>
          <w:tcPr>
            <w:tcW w:w="198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用户满意度</w:t>
            </w:r>
          </w:p>
        </w:tc>
        <w:tc>
          <w:tcPr>
            <w:tcW w:w="3402"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用户满意度</w:t>
            </w:r>
          </w:p>
        </w:tc>
        <w:tc>
          <w:tcPr>
            <w:tcW w:w="1843"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≥95%</w:t>
            </w:r>
          </w:p>
        </w:tc>
        <w:tc>
          <w:tcPr>
            <w:tcW w:w="215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问卷调查</w:t>
            </w:r>
          </w:p>
        </w:tc>
      </w:tr>
    </w:tbl>
    <w:p>
      <w:pPr>
        <w:ind w:firstLine="640" w:firstLineChars="200"/>
        <w:jc w:val="left"/>
        <w:outlineLvl w:val="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19.综合行政执法制式服装和标志购置专项经费绩效目标表</w:t>
      </w:r>
    </w:p>
    <w:p>
      <w:pPr>
        <w:spacing w:line="14" w:lineRule="exact"/>
        <w:ind w:firstLine="420" w:firstLineChars="200"/>
        <w:jc w:val="center"/>
        <w:rPr>
          <w:rFonts w:ascii="Times New Roman" w:hAnsi="Times New Roman" w:eastAsia="仿宋_GB2312" w:cs="Times New Roman"/>
        </w:rPr>
      </w:pPr>
    </w:p>
    <w:tbl>
      <w:tblPr>
        <w:tblStyle w:val="9"/>
        <w:tblW w:w="1406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09"/>
        <w:gridCol w:w="2268"/>
        <w:gridCol w:w="1985"/>
        <w:gridCol w:w="3402"/>
        <w:gridCol w:w="1843"/>
        <w:gridCol w:w="215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2409"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绩效目标</w:t>
            </w:r>
          </w:p>
        </w:tc>
        <w:tc>
          <w:tcPr>
            <w:tcW w:w="11653" w:type="dxa"/>
            <w:gridSpan w:val="5"/>
            <w:shd w:val="clear" w:color="auto" w:fill="auto"/>
            <w:vAlign w:val="center"/>
          </w:tcPr>
          <w:p>
            <w:pPr>
              <w:spacing w:line="300" w:lineRule="exact"/>
              <w:rPr>
                <w:rFonts w:ascii="Times New Roman" w:hAnsi="Times New Roman" w:eastAsia="仿宋_GB2312" w:cs="Times New Roman"/>
                <w:b/>
              </w:rPr>
            </w:pPr>
            <w:r>
              <w:rPr>
                <w:rFonts w:hint="eastAsia" w:ascii="仿宋_GB2312" w:hAnsi="仿宋_GB2312" w:eastAsia="仿宋_GB2312" w:cs="仿宋_GB2312"/>
              </w:rPr>
              <w:t>1.完成一线执法人员综合行政执法制式服装和标志首次配发，推进本</w:t>
            </w:r>
            <w:r>
              <w:rPr>
                <w:rFonts w:hint="eastAsia" w:ascii="仿宋_GB2312" w:hAnsi="仿宋_GB2312" w:eastAsia="仿宋_GB2312" w:cs="仿宋_GB2312"/>
                <w:lang w:eastAsia="zh-CN"/>
              </w:rPr>
              <w:t>单位</w:t>
            </w:r>
            <w:r>
              <w:rPr>
                <w:rFonts w:hint="eastAsia" w:ascii="仿宋_GB2312" w:hAnsi="仿宋_GB2312" w:eastAsia="仿宋_GB2312" w:cs="仿宋_GB2312"/>
              </w:rPr>
              <w:t>规范文明执法。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2409"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一级指标</w:t>
            </w:r>
          </w:p>
        </w:tc>
        <w:tc>
          <w:tcPr>
            <w:tcW w:w="2268"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二级指标</w:t>
            </w:r>
          </w:p>
        </w:tc>
        <w:tc>
          <w:tcPr>
            <w:tcW w:w="1985"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三级指标</w:t>
            </w:r>
          </w:p>
        </w:tc>
        <w:tc>
          <w:tcPr>
            <w:tcW w:w="3402"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绩效指标描述</w:t>
            </w:r>
          </w:p>
        </w:tc>
        <w:tc>
          <w:tcPr>
            <w:tcW w:w="1843"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指标值</w:t>
            </w:r>
          </w:p>
        </w:tc>
        <w:tc>
          <w:tcPr>
            <w:tcW w:w="2155" w:type="dxa"/>
            <w:shd w:val="clear" w:color="auto" w:fill="auto"/>
            <w:vAlign w:val="center"/>
          </w:tcPr>
          <w:p>
            <w:pPr>
              <w:spacing w:line="300" w:lineRule="exact"/>
              <w:jc w:val="center"/>
              <w:rPr>
                <w:rFonts w:ascii="Times New Roman" w:hAnsi="Times New Roman" w:eastAsia="仿宋_GB2312" w:cs="Times New Roman"/>
                <w:b/>
              </w:rPr>
            </w:pPr>
            <w:r>
              <w:rPr>
                <w:rFonts w:ascii="Times New Roman" w:hAnsi="Times New Roman" w:eastAsia="仿宋_GB2312" w:cs="Times New Roman"/>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restart"/>
            <w:shd w:val="clear" w:color="auto" w:fill="auto"/>
            <w:vAlign w:val="center"/>
          </w:tcPr>
          <w:p>
            <w:pPr>
              <w:spacing w:line="300" w:lineRule="exact"/>
              <w:jc w:val="center"/>
              <w:rPr>
                <w:rFonts w:ascii="Times New Roman" w:hAnsi="Times New Roman" w:eastAsia="仿宋_GB2312" w:cs="Times New Roman"/>
              </w:rPr>
            </w:pPr>
            <w:r>
              <w:rPr>
                <w:rFonts w:ascii="Times New Roman" w:hAnsi="Times New Roman" w:eastAsia="仿宋_GB2312" w:cs="Times New Roman"/>
              </w:rPr>
              <w:t>产出指标</w:t>
            </w:r>
          </w:p>
        </w:tc>
        <w:tc>
          <w:tcPr>
            <w:tcW w:w="2268"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数量指标</w:t>
            </w:r>
          </w:p>
        </w:tc>
        <w:tc>
          <w:tcPr>
            <w:tcW w:w="198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配发率</w:t>
            </w:r>
          </w:p>
        </w:tc>
        <w:tc>
          <w:tcPr>
            <w:tcW w:w="3402"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实际配发人数与应配发人数的比率</w:t>
            </w:r>
          </w:p>
        </w:tc>
        <w:tc>
          <w:tcPr>
            <w:tcW w:w="1843"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≥95%</w:t>
            </w:r>
          </w:p>
        </w:tc>
        <w:tc>
          <w:tcPr>
            <w:tcW w:w="215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《河北省综合行政执法制式服装和标志管理实施办法》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tc>
        <w:tc>
          <w:tcPr>
            <w:tcW w:w="2268"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质量指标</w:t>
            </w:r>
          </w:p>
        </w:tc>
        <w:tc>
          <w:tcPr>
            <w:tcW w:w="198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合格率</w:t>
            </w:r>
          </w:p>
        </w:tc>
        <w:tc>
          <w:tcPr>
            <w:tcW w:w="3402"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配发服装、标志的验收合格率</w:t>
            </w:r>
          </w:p>
        </w:tc>
        <w:tc>
          <w:tcPr>
            <w:tcW w:w="1843"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100%</w:t>
            </w:r>
          </w:p>
        </w:tc>
        <w:tc>
          <w:tcPr>
            <w:tcW w:w="215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《河北省综合行政执法制式服装和标志管理实施办法》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tc>
        <w:tc>
          <w:tcPr>
            <w:tcW w:w="2268"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时效指标</w:t>
            </w:r>
          </w:p>
        </w:tc>
        <w:tc>
          <w:tcPr>
            <w:tcW w:w="198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按时配发率</w:t>
            </w:r>
          </w:p>
        </w:tc>
        <w:tc>
          <w:tcPr>
            <w:tcW w:w="3402"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按照计划时间配发</w:t>
            </w:r>
          </w:p>
        </w:tc>
        <w:tc>
          <w:tcPr>
            <w:tcW w:w="1843"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100%</w:t>
            </w:r>
          </w:p>
        </w:tc>
        <w:tc>
          <w:tcPr>
            <w:tcW w:w="215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《河北省综合行政执法制式服装和标志管理实施办法》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tc>
        <w:tc>
          <w:tcPr>
            <w:tcW w:w="2268"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成本指标</w:t>
            </w:r>
          </w:p>
        </w:tc>
        <w:tc>
          <w:tcPr>
            <w:tcW w:w="198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每套成本控制</w:t>
            </w:r>
          </w:p>
        </w:tc>
        <w:tc>
          <w:tcPr>
            <w:tcW w:w="3402"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每套控制在4035元之内</w:t>
            </w:r>
          </w:p>
        </w:tc>
        <w:tc>
          <w:tcPr>
            <w:tcW w:w="1843"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≤4035元/套</w:t>
            </w:r>
          </w:p>
        </w:tc>
        <w:tc>
          <w:tcPr>
            <w:tcW w:w="215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《河北省综合行政执法制式服装和标志管理实施办法》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shd w:val="clear" w:color="auto" w:fill="auto"/>
            <w:vAlign w:val="center"/>
          </w:tcPr>
          <w:p>
            <w:pPr>
              <w:spacing w:line="300" w:lineRule="exact"/>
              <w:jc w:val="center"/>
              <w:rPr>
                <w:rFonts w:ascii="Times New Roman" w:hAnsi="Times New Roman" w:eastAsia="仿宋_GB2312" w:cs="Times New Roman"/>
              </w:rPr>
            </w:pPr>
            <w:r>
              <w:rPr>
                <w:rFonts w:ascii="Times New Roman" w:hAnsi="Times New Roman" w:eastAsia="仿宋_GB2312" w:cs="Times New Roman"/>
              </w:rPr>
              <w:t>效果指标</w:t>
            </w:r>
          </w:p>
        </w:tc>
        <w:tc>
          <w:tcPr>
            <w:tcW w:w="2268"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社会效益指标</w:t>
            </w:r>
          </w:p>
        </w:tc>
        <w:tc>
          <w:tcPr>
            <w:tcW w:w="198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推进规范文明执法</w:t>
            </w:r>
          </w:p>
        </w:tc>
        <w:tc>
          <w:tcPr>
            <w:tcW w:w="3402"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推进规范文明执法</w:t>
            </w:r>
          </w:p>
        </w:tc>
        <w:tc>
          <w:tcPr>
            <w:tcW w:w="1843"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推进规范文明执法</w:t>
            </w:r>
          </w:p>
        </w:tc>
        <w:tc>
          <w:tcPr>
            <w:tcW w:w="215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《河北省综合行政执法制式服装和标志管理实施办法》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shd w:val="clear" w:color="auto" w:fill="auto"/>
            <w:vAlign w:val="center"/>
          </w:tcPr>
          <w:p>
            <w:pPr>
              <w:spacing w:line="300" w:lineRule="exact"/>
              <w:jc w:val="center"/>
              <w:rPr>
                <w:rFonts w:ascii="Times New Roman" w:hAnsi="Times New Roman" w:eastAsia="仿宋_GB2312" w:cs="Times New Roman"/>
              </w:rPr>
            </w:pPr>
            <w:r>
              <w:rPr>
                <w:rFonts w:ascii="Times New Roman" w:hAnsi="Times New Roman" w:eastAsia="仿宋_GB2312" w:cs="Times New Roman"/>
              </w:rPr>
              <w:t>满意度指标</w:t>
            </w:r>
          </w:p>
        </w:tc>
        <w:tc>
          <w:tcPr>
            <w:tcW w:w="2268"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服务对象满意度指标</w:t>
            </w:r>
          </w:p>
        </w:tc>
        <w:tc>
          <w:tcPr>
            <w:tcW w:w="198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配发对象满意度</w:t>
            </w:r>
          </w:p>
        </w:tc>
        <w:tc>
          <w:tcPr>
            <w:tcW w:w="3402"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配发对象满意度</w:t>
            </w:r>
          </w:p>
        </w:tc>
        <w:tc>
          <w:tcPr>
            <w:tcW w:w="1843"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&lt;90%</w:t>
            </w:r>
          </w:p>
        </w:tc>
        <w:tc>
          <w:tcPr>
            <w:tcW w:w="2155" w:type="dxa"/>
            <w:shd w:val="clear" w:color="auto" w:fill="auto"/>
            <w:vAlign w:val="center"/>
          </w:tcPr>
          <w:p>
            <w:pPr>
              <w:pStyle w:val="15"/>
              <w:rPr>
                <w:rFonts w:hint="eastAsia" w:ascii="仿宋_GB2312" w:hAnsi="仿宋_GB2312" w:eastAsia="仿宋_GB2312" w:cs="仿宋_GB2312"/>
                <w:kern w:val="2"/>
                <w:sz w:val="21"/>
                <w:szCs w:val="22"/>
                <w:lang w:val="en-US" w:eastAsia="uk-UA" w:bidi="ar-SA"/>
              </w:rPr>
            </w:pPr>
            <w:r>
              <w:rPr>
                <w:rFonts w:hint="eastAsia" w:ascii="仿宋_GB2312" w:hAnsi="仿宋_GB2312" w:eastAsia="仿宋_GB2312" w:cs="仿宋_GB2312"/>
                <w:kern w:val="2"/>
                <w:sz w:val="21"/>
                <w:szCs w:val="22"/>
                <w:lang w:val="en-US" w:eastAsia="zh-CN" w:bidi="ar-SA"/>
              </w:rPr>
              <w:t>问卷调查</w:t>
            </w:r>
          </w:p>
        </w:tc>
      </w:tr>
    </w:tbl>
    <w:p>
      <w:pPr>
        <w:ind w:firstLine="560" w:firstLineChars="200"/>
        <w:jc w:val="left"/>
        <w:outlineLvl w:val="1"/>
        <w:rPr>
          <w:rFonts w:ascii="Times New Roman" w:hAnsi="Times New Roman" w:eastAsia="仿宋_GB2312" w:cs="Times New Roman"/>
          <w:sz w:val="28"/>
        </w:rPr>
      </w:pPr>
    </w:p>
    <w:p>
      <w:pPr>
        <w:spacing w:line="14" w:lineRule="exact"/>
        <w:ind w:firstLine="420" w:firstLineChars="200"/>
        <w:jc w:val="center"/>
        <w:rPr>
          <w:rFonts w:ascii="Times New Roman" w:hAnsi="Times New Roman" w:eastAsia="仿宋_GB2312" w:cs="Times New Roman"/>
        </w:rPr>
      </w:pPr>
    </w:p>
    <w:p>
      <w:pPr>
        <w:autoSpaceDE w:val="0"/>
        <w:autoSpaceDN w:val="0"/>
        <w:adjustRightInd w:val="0"/>
        <w:spacing w:line="584" w:lineRule="exact"/>
        <w:ind w:firstLine="640" w:firstLineChars="200"/>
        <w:jc w:val="left"/>
        <w:rPr>
          <w:rFonts w:ascii="Times New Roman" w:hAnsi="Times New Roman" w:eastAsia="黑体" w:cs="Times New Roman"/>
          <w:sz w:val="32"/>
          <w:szCs w:val="32"/>
        </w:rPr>
      </w:pPr>
    </w:p>
    <w:p>
      <w:pPr>
        <w:autoSpaceDE w:val="0"/>
        <w:autoSpaceDN w:val="0"/>
        <w:adjustRightInd w:val="0"/>
        <w:spacing w:line="584"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六、政府采购预算情况</w:t>
      </w:r>
    </w:p>
    <w:p>
      <w:pPr>
        <w:spacing w:line="584" w:lineRule="exact"/>
        <w:ind w:firstLine="640" w:firstLineChars="200"/>
        <w:outlineLvl w:val="0"/>
        <w:rPr>
          <w:rFonts w:ascii="Times New Roman" w:hAnsi="Times New Roman" w:eastAsia="仿宋_GB2312" w:cs="Times New Roman"/>
          <w:sz w:val="32"/>
          <w:szCs w:val="24"/>
        </w:rPr>
      </w:pPr>
      <w:bookmarkStart w:id="1" w:name="_Toc471398468"/>
      <w:r>
        <w:rPr>
          <w:rFonts w:hint="eastAsia" w:ascii="仿宋_GB2312" w:hAnsi="仿宋_GB2312" w:eastAsia="仿宋_GB2312" w:cs="仿宋_GB2312"/>
          <w:sz w:val="32"/>
          <w:szCs w:val="32"/>
        </w:rPr>
        <w:t>2022年，我</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安排政府采购预算</w:t>
      </w:r>
      <w:r>
        <w:rPr>
          <w:rFonts w:hint="eastAsia" w:ascii="仿宋_GB2312" w:hAnsi="仿宋_GB2312" w:eastAsia="仿宋_GB2312" w:cs="仿宋_GB2312"/>
          <w:sz w:val="32"/>
          <w:szCs w:val="32"/>
          <w:lang w:val="en-US" w:eastAsia="zh-CN"/>
        </w:rPr>
        <w:t>933.70</w:t>
      </w:r>
      <w:r>
        <w:rPr>
          <w:rFonts w:hint="eastAsia" w:ascii="仿宋_GB2312" w:hAnsi="仿宋_GB2312" w:eastAsia="仿宋_GB2312" w:cs="仿宋_GB2312"/>
          <w:sz w:val="32"/>
          <w:szCs w:val="32"/>
        </w:rPr>
        <w:t>万元。具体内容见下表。</w:t>
      </w:r>
    </w:p>
    <w:bookmarkEnd w:id="1"/>
    <w:p>
      <w:pPr>
        <w:jc w:val="center"/>
        <w:outlineLvl w:val="1"/>
        <w:rPr>
          <w:rFonts w:ascii="方正小标宋_GBK" w:eastAsia="方正小标宋_GBK" w:cs="Times New Roman"/>
          <w:sz w:val="32"/>
        </w:rPr>
      </w:pPr>
      <w:bookmarkStart w:id="2" w:name="_Toc64920910"/>
      <w:r>
        <w:rPr>
          <w:rFonts w:hint="eastAsia" w:ascii="仿宋_GB2312" w:hAnsi="仿宋_GB2312" w:eastAsia="仿宋_GB2312" w:cs="仿宋_GB2312"/>
          <w:sz w:val="32"/>
          <w:lang w:eastAsia="zh-CN"/>
        </w:rPr>
        <w:t>单位</w:t>
      </w:r>
      <w:r>
        <w:rPr>
          <w:rFonts w:hint="eastAsia" w:ascii="仿宋_GB2312" w:hAnsi="仿宋_GB2312" w:eastAsia="仿宋_GB2312" w:cs="仿宋_GB2312"/>
          <w:sz w:val="32"/>
        </w:rPr>
        <w:t>政府采购预算</w:t>
      </w:r>
      <w:bookmarkEnd w:id="2"/>
    </w:p>
    <w:p>
      <w:pPr>
        <w:outlineLvl w:val="1"/>
        <w:rPr>
          <w:rFonts w:hint="eastAsia" w:ascii="方正小标宋_GBK" w:eastAsia="方正小标宋_GBK" w:cs="Times New Roman"/>
          <w:sz w:val="32"/>
        </w:rPr>
      </w:pPr>
      <w:r>
        <w:rPr>
          <w:rFonts w:hint="eastAsia"/>
          <w:lang w:val="en-US" w:eastAsia="zh-CN"/>
        </w:rPr>
        <w:t>721001</w:t>
      </w:r>
      <w:r>
        <w:t>廊坊市</w:t>
      </w:r>
      <w:r>
        <w:rPr>
          <w:rFonts w:hint="eastAsia"/>
          <w:lang w:val="en-US" w:eastAsia="zh-CN"/>
        </w:rPr>
        <w:t>应急管理局</w:t>
      </w:r>
      <w:r>
        <w:t xml:space="preserve">           </w:t>
      </w:r>
      <w:bookmarkStart w:id="3" w:name="_GoBack"/>
      <w:bookmarkEnd w:id="3"/>
      <w:r>
        <w:t xml:space="preserve">                                                                                         单位：万元</w:t>
      </w:r>
    </w:p>
    <w:tbl>
      <w:tblPr>
        <w:tblStyle w:val="9"/>
        <w:tblW w:w="1541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9"/>
        <w:gridCol w:w="1013"/>
        <w:gridCol w:w="1200"/>
        <w:gridCol w:w="1219"/>
        <w:gridCol w:w="525"/>
        <w:gridCol w:w="581"/>
        <w:gridCol w:w="900"/>
        <w:gridCol w:w="1069"/>
        <w:gridCol w:w="993"/>
        <w:gridCol w:w="694"/>
        <w:gridCol w:w="1125"/>
        <w:gridCol w:w="825"/>
        <w:gridCol w:w="669"/>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722" w:type="dxa"/>
            <w:gridSpan w:val="2"/>
            <w:vAlign w:val="center"/>
          </w:tcPr>
          <w:p>
            <w:pPr>
              <w:pStyle w:val="13"/>
              <w:keepNext w:val="0"/>
              <w:keepLines w:val="0"/>
              <w:pageBreakBefore w:val="0"/>
              <w:widowControl/>
              <w:kinsoku/>
              <w:wordWrap/>
              <w:overflowPunct/>
              <w:topLinePunct w:val="0"/>
              <w:autoSpaceDE/>
              <w:autoSpaceDN/>
              <w:bidi w:val="0"/>
              <w:adjustRightInd/>
              <w:snapToGrid/>
              <w:spacing w:line="300" w:lineRule="exact"/>
              <w:textAlignment w:val="center"/>
              <w:rPr>
                <w:snapToGrid w:val="0"/>
                <w:kern w:val="0"/>
              </w:rPr>
            </w:pPr>
            <w:r>
              <w:rPr>
                <w:snapToGrid w:val="0"/>
                <w:kern w:val="0"/>
              </w:rPr>
              <w:t>政府采购项目来源</w:t>
            </w:r>
          </w:p>
        </w:tc>
        <w:tc>
          <w:tcPr>
            <w:tcW w:w="1200" w:type="dxa"/>
            <w:vMerge w:val="restart"/>
            <w:vAlign w:val="center"/>
          </w:tcPr>
          <w:p>
            <w:pPr>
              <w:pStyle w:val="13"/>
              <w:keepNext w:val="0"/>
              <w:keepLines w:val="0"/>
              <w:pageBreakBefore w:val="0"/>
              <w:widowControl/>
              <w:kinsoku/>
              <w:wordWrap/>
              <w:overflowPunct/>
              <w:topLinePunct w:val="0"/>
              <w:autoSpaceDE/>
              <w:autoSpaceDN/>
              <w:bidi w:val="0"/>
              <w:adjustRightInd/>
              <w:snapToGrid/>
              <w:spacing w:line="300" w:lineRule="exact"/>
              <w:textAlignment w:val="center"/>
              <w:rPr>
                <w:snapToGrid w:val="0"/>
                <w:kern w:val="0"/>
              </w:rPr>
            </w:pPr>
            <w:r>
              <w:rPr>
                <w:snapToGrid w:val="0"/>
                <w:kern w:val="0"/>
              </w:rPr>
              <w:t>采购物品名称</w:t>
            </w:r>
          </w:p>
        </w:tc>
        <w:tc>
          <w:tcPr>
            <w:tcW w:w="1219" w:type="dxa"/>
            <w:vMerge w:val="restart"/>
            <w:vAlign w:val="center"/>
          </w:tcPr>
          <w:p>
            <w:pPr>
              <w:pStyle w:val="13"/>
              <w:keepNext w:val="0"/>
              <w:keepLines w:val="0"/>
              <w:pageBreakBefore w:val="0"/>
              <w:widowControl/>
              <w:kinsoku/>
              <w:wordWrap/>
              <w:overflowPunct/>
              <w:topLinePunct w:val="0"/>
              <w:autoSpaceDE/>
              <w:autoSpaceDN/>
              <w:bidi w:val="0"/>
              <w:adjustRightInd/>
              <w:snapToGrid/>
              <w:spacing w:line="300" w:lineRule="exact"/>
              <w:textAlignment w:val="center"/>
              <w:rPr>
                <w:snapToGrid w:val="0"/>
                <w:kern w:val="0"/>
              </w:rPr>
            </w:pPr>
            <w:r>
              <w:rPr>
                <w:snapToGrid w:val="0"/>
                <w:kern w:val="0"/>
              </w:rPr>
              <w:t>政府采购目录序号</w:t>
            </w:r>
          </w:p>
        </w:tc>
        <w:tc>
          <w:tcPr>
            <w:tcW w:w="525" w:type="dxa"/>
            <w:vMerge w:val="restart"/>
            <w:vAlign w:val="center"/>
          </w:tcPr>
          <w:p>
            <w:pPr>
              <w:pStyle w:val="13"/>
              <w:keepNext w:val="0"/>
              <w:keepLines w:val="0"/>
              <w:pageBreakBefore w:val="0"/>
              <w:widowControl/>
              <w:kinsoku/>
              <w:wordWrap/>
              <w:overflowPunct/>
              <w:topLinePunct w:val="0"/>
              <w:autoSpaceDE/>
              <w:autoSpaceDN/>
              <w:bidi w:val="0"/>
              <w:adjustRightInd/>
              <w:snapToGrid/>
              <w:spacing w:line="300" w:lineRule="exact"/>
              <w:textAlignment w:val="center"/>
              <w:rPr>
                <w:snapToGrid w:val="0"/>
                <w:kern w:val="0"/>
              </w:rPr>
            </w:pPr>
            <w:r>
              <w:rPr>
                <w:snapToGrid w:val="0"/>
                <w:kern w:val="0"/>
              </w:rPr>
              <w:t>计量  单位</w:t>
            </w:r>
          </w:p>
        </w:tc>
        <w:tc>
          <w:tcPr>
            <w:tcW w:w="581" w:type="dxa"/>
            <w:vMerge w:val="restart"/>
            <w:vAlign w:val="center"/>
          </w:tcPr>
          <w:p>
            <w:pPr>
              <w:pStyle w:val="13"/>
              <w:keepNext w:val="0"/>
              <w:keepLines w:val="0"/>
              <w:pageBreakBefore w:val="0"/>
              <w:widowControl/>
              <w:kinsoku/>
              <w:wordWrap/>
              <w:overflowPunct/>
              <w:topLinePunct w:val="0"/>
              <w:autoSpaceDE/>
              <w:autoSpaceDN/>
              <w:bidi w:val="0"/>
              <w:adjustRightInd/>
              <w:snapToGrid/>
              <w:spacing w:line="300" w:lineRule="exact"/>
              <w:textAlignment w:val="center"/>
              <w:rPr>
                <w:snapToGrid w:val="0"/>
                <w:kern w:val="0"/>
              </w:rPr>
            </w:pPr>
            <w:r>
              <w:rPr>
                <w:snapToGrid w:val="0"/>
                <w:kern w:val="0"/>
              </w:rPr>
              <w:t>数量</w:t>
            </w:r>
          </w:p>
        </w:tc>
        <w:tc>
          <w:tcPr>
            <w:tcW w:w="900" w:type="dxa"/>
            <w:vMerge w:val="restart"/>
            <w:vAlign w:val="center"/>
          </w:tcPr>
          <w:p>
            <w:pPr>
              <w:pStyle w:val="13"/>
              <w:keepNext w:val="0"/>
              <w:keepLines w:val="0"/>
              <w:pageBreakBefore w:val="0"/>
              <w:widowControl/>
              <w:kinsoku/>
              <w:wordWrap/>
              <w:overflowPunct/>
              <w:topLinePunct w:val="0"/>
              <w:autoSpaceDE/>
              <w:autoSpaceDN/>
              <w:bidi w:val="0"/>
              <w:adjustRightInd/>
              <w:snapToGrid/>
              <w:spacing w:line="300" w:lineRule="exact"/>
              <w:textAlignment w:val="center"/>
              <w:rPr>
                <w:snapToGrid w:val="0"/>
                <w:kern w:val="0"/>
              </w:rPr>
            </w:pPr>
            <w:r>
              <w:rPr>
                <w:snapToGrid w:val="0"/>
                <w:kern w:val="0"/>
              </w:rPr>
              <w:t>单价</w:t>
            </w:r>
          </w:p>
        </w:tc>
        <w:tc>
          <w:tcPr>
            <w:tcW w:w="7303" w:type="dxa"/>
            <w:gridSpan w:val="8"/>
            <w:vAlign w:val="center"/>
          </w:tcPr>
          <w:p>
            <w:pPr>
              <w:pStyle w:val="13"/>
              <w:keepNext w:val="0"/>
              <w:keepLines w:val="0"/>
              <w:pageBreakBefore w:val="0"/>
              <w:widowControl/>
              <w:kinsoku/>
              <w:wordWrap/>
              <w:overflowPunct/>
              <w:topLinePunct w:val="0"/>
              <w:autoSpaceDE/>
              <w:autoSpaceDN/>
              <w:bidi w:val="0"/>
              <w:adjustRightInd/>
              <w:snapToGrid/>
              <w:spacing w:line="300" w:lineRule="exact"/>
              <w:textAlignment w:val="center"/>
              <w:rPr>
                <w:snapToGrid w:val="0"/>
                <w:kern w:val="0"/>
              </w:rPr>
            </w:pPr>
            <w:r>
              <w:rPr>
                <w:snapToGrid w:val="0"/>
                <w:kern w:val="0"/>
              </w:rPr>
              <w:t>政府采购金额（当年</w:t>
            </w:r>
            <w:r>
              <w:rPr>
                <w:rFonts w:hint="eastAsia"/>
                <w:snapToGrid w:val="0"/>
                <w:kern w:val="0"/>
                <w:lang w:eastAsia="zh-CN"/>
              </w:rPr>
              <w:t>单位</w:t>
            </w:r>
            <w:r>
              <w:rPr>
                <w:snapToGrid w:val="0"/>
                <w:kern w:val="0"/>
              </w:rPr>
              <w:t>预算安排资金）</w:t>
            </w:r>
          </w:p>
        </w:tc>
        <w:tc>
          <w:tcPr>
            <w:tcW w:w="964" w:type="dxa"/>
            <w:vMerge w:val="restart"/>
            <w:vAlign w:val="center"/>
          </w:tcPr>
          <w:p>
            <w:pPr>
              <w:pStyle w:val="13"/>
              <w:keepNext w:val="0"/>
              <w:keepLines w:val="0"/>
              <w:pageBreakBefore w:val="0"/>
              <w:widowControl/>
              <w:kinsoku/>
              <w:wordWrap/>
              <w:overflowPunct/>
              <w:topLinePunct w:val="0"/>
              <w:autoSpaceDE/>
              <w:autoSpaceDN/>
              <w:bidi w:val="0"/>
              <w:adjustRightInd/>
              <w:snapToGrid/>
              <w:spacing w:line="300" w:lineRule="exact"/>
              <w:textAlignment w:val="center"/>
              <w:rPr>
                <w:snapToGrid w:val="0"/>
                <w:kern w:val="0"/>
              </w:rPr>
            </w:pPr>
            <w:r>
              <w:rPr>
                <w:snapToGrid w:val="0"/>
                <w:kern w:val="0"/>
              </w:rPr>
              <w:t>2022年预留中小微企业份额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9" w:type="dxa"/>
            <w:vAlign w:val="center"/>
          </w:tcPr>
          <w:p>
            <w:pPr>
              <w:pStyle w:val="13"/>
              <w:keepNext w:val="0"/>
              <w:keepLines w:val="0"/>
              <w:pageBreakBefore w:val="0"/>
              <w:widowControl/>
              <w:kinsoku/>
              <w:wordWrap/>
              <w:overflowPunct/>
              <w:topLinePunct w:val="0"/>
              <w:autoSpaceDE/>
              <w:autoSpaceDN/>
              <w:bidi w:val="0"/>
              <w:adjustRightInd/>
              <w:snapToGrid/>
              <w:spacing w:line="300" w:lineRule="exact"/>
              <w:textAlignment w:val="center"/>
              <w:rPr>
                <w:snapToGrid w:val="0"/>
                <w:kern w:val="0"/>
              </w:rPr>
            </w:pPr>
            <w:r>
              <w:rPr>
                <w:snapToGrid w:val="0"/>
                <w:kern w:val="0"/>
              </w:rPr>
              <w:t>项目名称</w:t>
            </w:r>
          </w:p>
        </w:tc>
        <w:tc>
          <w:tcPr>
            <w:tcW w:w="1013" w:type="dxa"/>
            <w:vAlign w:val="center"/>
          </w:tcPr>
          <w:p>
            <w:pPr>
              <w:pStyle w:val="13"/>
              <w:keepNext w:val="0"/>
              <w:keepLines w:val="0"/>
              <w:pageBreakBefore w:val="0"/>
              <w:widowControl/>
              <w:kinsoku/>
              <w:wordWrap/>
              <w:overflowPunct/>
              <w:topLinePunct w:val="0"/>
              <w:autoSpaceDE/>
              <w:autoSpaceDN/>
              <w:bidi w:val="0"/>
              <w:adjustRightInd/>
              <w:snapToGrid/>
              <w:spacing w:line="300" w:lineRule="exact"/>
              <w:textAlignment w:val="center"/>
              <w:rPr>
                <w:snapToGrid w:val="0"/>
                <w:kern w:val="0"/>
              </w:rPr>
            </w:pPr>
            <w:r>
              <w:rPr>
                <w:snapToGrid w:val="0"/>
                <w:kern w:val="0"/>
              </w:rPr>
              <w:t>预算    资金</w:t>
            </w:r>
          </w:p>
        </w:tc>
        <w:tc>
          <w:tcPr>
            <w:tcW w:w="1200" w:type="dxa"/>
            <w:vMerge w:val="continue"/>
          </w:tcPr>
          <w:p>
            <w:pPr>
              <w:keepNext w:val="0"/>
              <w:keepLines w:val="0"/>
              <w:pageBreakBefore w:val="0"/>
              <w:widowControl/>
              <w:kinsoku/>
              <w:wordWrap/>
              <w:overflowPunct/>
              <w:topLinePunct w:val="0"/>
              <w:autoSpaceDE/>
              <w:autoSpaceDN/>
              <w:bidi w:val="0"/>
              <w:adjustRightInd/>
              <w:snapToGrid/>
              <w:spacing w:line="300" w:lineRule="exact"/>
              <w:textAlignment w:val="center"/>
              <w:rPr>
                <w:snapToGrid w:val="0"/>
                <w:kern w:val="0"/>
              </w:rPr>
            </w:pPr>
          </w:p>
        </w:tc>
        <w:tc>
          <w:tcPr>
            <w:tcW w:w="1219" w:type="dxa"/>
            <w:vMerge w:val="continue"/>
          </w:tcPr>
          <w:p>
            <w:pPr>
              <w:keepNext w:val="0"/>
              <w:keepLines w:val="0"/>
              <w:pageBreakBefore w:val="0"/>
              <w:widowControl/>
              <w:kinsoku/>
              <w:wordWrap/>
              <w:overflowPunct/>
              <w:topLinePunct w:val="0"/>
              <w:autoSpaceDE/>
              <w:autoSpaceDN/>
              <w:bidi w:val="0"/>
              <w:adjustRightInd/>
              <w:snapToGrid/>
              <w:spacing w:line="300" w:lineRule="exact"/>
              <w:textAlignment w:val="center"/>
              <w:rPr>
                <w:snapToGrid w:val="0"/>
                <w:kern w:val="0"/>
              </w:rPr>
            </w:pPr>
          </w:p>
        </w:tc>
        <w:tc>
          <w:tcPr>
            <w:tcW w:w="525" w:type="dxa"/>
            <w:vMerge w:val="continue"/>
          </w:tcPr>
          <w:p>
            <w:pPr>
              <w:keepNext w:val="0"/>
              <w:keepLines w:val="0"/>
              <w:pageBreakBefore w:val="0"/>
              <w:widowControl/>
              <w:kinsoku/>
              <w:wordWrap/>
              <w:overflowPunct/>
              <w:topLinePunct w:val="0"/>
              <w:autoSpaceDE/>
              <w:autoSpaceDN/>
              <w:bidi w:val="0"/>
              <w:adjustRightInd/>
              <w:snapToGrid/>
              <w:spacing w:line="300" w:lineRule="exact"/>
              <w:textAlignment w:val="center"/>
              <w:rPr>
                <w:snapToGrid w:val="0"/>
                <w:kern w:val="0"/>
              </w:rPr>
            </w:pPr>
          </w:p>
        </w:tc>
        <w:tc>
          <w:tcPr>
            <w:tcW w:w="581" w:type="dxa"/>
            <w:vMerge w:val="continue"/>
          </w:tcPr>
          <w:p>
            <w:pPr>
              <w:keepNext w:val="0"/>
              <w:keepLines w:val="0"/>
              <w:pageBreakBefore w:val="0"/>
              <w:widowControl/>
              <w:kinsoku/>
              <w:wordWrap/>
              <w:overflowPunct/>
              <w:topLinePunct w:val="0"/>
              <w:autoSpaceDE/>
              <w:autoSpaceDN/>
              <w:bidi w:val="0"/>
              <w:adjustRightInd/>
              <w:snapToGrid/>
              <w:spacing w:line="300" w:lineRule="exact"/>
              <w:textAlignment w:val="center"/>
              <w:rPr>
                <w:snapToGrid w:val="0"/>
                <w:kern w:val="0"/>
              </w:rPr>
            </w:pPr>
          </w:p>
        </w:tc>
        <w:tc>
          <w:tcPr>
            <w:tcW w:w="900" w:type="dxa"/>
            <w:vMerge w:val="continue"/>
          </w:tcPr>
          <w:p>
            <w:pPr>
              <w:keepNext w:val="0"/>
              <w:keepLines w:val="0"/>
              <w:pageBreakBefore w:val="0"/>
              <w:widowControl/>
              <w:kinsoku/>
              <w:wordWrap/>
              <w:overflowPunct/>
              <w:topLinePunct w:val="0"/>
              <w:autoSpaceDE/>
              <w:autoSpaceDN/>
              <w:bidi w:val="0"/>
              <w:adjustRightInd/>
              <w:snapToGrid/>
              <w:spacing w:line="300" w:lineRule="exact"/>
              <w:textAlignment w:val="center"/>
              <w:rPr>
                <w:snapToGrid w:val="0"/>
                <w:kern w:val="0"/>
              </w:rPr>
            </w:pPr>
          </w:p>
        </w:tc>
        <w:tc>
          <w:tcPr>
            <w:tcW w:w="1069" w:type="dxa"/>
            <w:vAlign w:val="center"/>
          </w:tcPr>
          <w:p>
            <w:pPr>
              <w:pStyle w:val="13"/>
              <w:keepNext w:val="0"/>
              <w:keepLines w:val="0"/>
              <w:pageBreakBefore w:val="0"/>
              <w:widowControl/>
              <w:kinsoku/>
              <w:wordWrap/>
              <w:overflowPunct/>
              <w:topLinePunct w:val="0"/>
              <w:autoSpaceDE/>
              <w:autoSpaceDN/>
              <w:bidi w:val="0"/>
              <w:adjustRightInd/>
              <w:snapToGrid/>
              <w:spacing w:line="300" w:lineRule="exact"/>
              <w:textAlignment w:val="center"/>
              <w:rPr>
                <w:snapToGrid w:val="0"/>
                <w:kern w:val="0"/>
              </w:rPr>
            </w:pPr>
            <w:r>
              <w:rPr>
                <w:snapToGrid w:val="0"/>
                <w:kern w:val="0"/>
              </w:rPr>
              <w:t>合计</w:t>
            </w:r>
          </w:p>
        </w:tc>
        <w:tc>
          <w:tcPr>
            <w:tcW w:w="993" w:type="dxa"/>
            <w:vAlign w:val="center"/>
          </w:tcPr>
          <w:p>
            <w:pPr>
              <w:pStyle w:val="13"/>
              <w:keepNext w:val="0"/>
              <w:keepLines w:val="0"/>
              <w:pageBreakBefore w:val="0"/>
              <w:widowControl/>
              <w:kinsoku/>
              <w:wordWrap/>
              <w:overflowPunct/>
              <w:topLinePunct w:val="0"/>
              <w:autoSpaceDE/>
              <w:autoSpaceDN/>
              <w:bidi w:val="0"/>
              <w:adjustRightInd/>
              <w:snapToGrid/>
              <w:spacing w:line="300" w:lineRule="exact"/>
              <w:textAlignment w:val="center"/>
              <w:rPr>
                <w:snapToGrid w:val="0"/>
                <w:kern w:val="0"/>
              </w:rPr>
            </w:pPr>
            <w:r>
              <w:rPr>
                <w:snapToGrid w:val="0"/>
                <w:kern w:val="0"/>
              </w:rPr>
              <w:t>一般公共预算拨款</w:t>
            </w:r>
          </w:p>
        </w:tc>
        <w:tc>
          <w:tcPr>
            <w:tcW w:w="694" w:type="dxa"/>
            <w:vAlign w:val="center"/>
          </w:tcPr>
          <w:p>
            <w:pPr>
              <w:pStyle w:val="13"/>
              <w:keepNext w:val="0"/>
              <w:keepLines w:val="0"/>
              <w:pageBreakBefore w:val="0"/>
              <w:widowControl/>
              <w:kinsoku/>
              <w:wordWrap/>
              <w:overflowPunct/>
              <w:topLinePunct w:val="0"/>
              <w:autoSpaceDE/>
              <w:autoSpaceDN/>
              <w:bidi w:val="0"/>
              <w:adjustRightInd/>
              <w:snapToGrid/>
              <w:spacing w:line="300" w:lineRule="exact"/>
              <w:textAlignment w:val="center"/>
              <w:rPr>
                <w:snapToGrid w:val="0"/>
                <w:kern w:val="0"/>
              </w:rPr>
            </w:pPr>
            <w:r>
              <w:rPr>
                <w:snapToGrid w:val="0"/>
                <w:kern w:val="0"/>
              </w:rPr>
              <w:t>基金预算拨款</w:t>
            </w:r>
          </w:p>
        </w:tc>
        <w:tc>
          <w:tcPr>
            <w:tcW w:w="1125" w:type="dxa"/>
            <w:vAlign w:val="center"/>
          </w:tcPr>
          <w:p>
            <w:pPr>
              <w:pStyle w:val="13"/>
              <w:keepNext w:val="0"/>
              <w:keepLines w:val="0"/>
              <w:pageBreakBefore w:val="0"/>
              <w:widowControl/>
              <w:kinsoku/>
              <w:wordWrap/>
              <w:overflowPunct/>
              <w:topLinePunct w:val="0"/>
              <w:autoSpaceDE/>
              <w:autoSpaceDN/>
              <w:bidi w:val="0"/>
              <w:adjustRightInd/>
              <w:snapToGrid/>
              <w:spacing w:line="300" w:lineRule="exact"/>
              <w:textAlignment w:val="center"/>
              <w:rPr>
                <w:snapToGrid w:val="0"/>
                <w:kern w:val="0"/>
              </w:rPr>
            </w:pPr>
            <w:r>
              <w:rPr>
                <w:snapToGrid w:val="0"/>
                <w:kern w:val="0"/>
              </w:rPr>
              <w:t>国有资本经营预算拨款</w:t>
            </w:r>
          </w:p>
        </w:tc>
        <w:tc>
          <w:tcPr>
            <w:tcW w:w="825" w:type="dxa"/>
            <w:vAlign w:val="center"/>
          </w:tcPr>
          <w:p>
            <w:pPr>
              <w:pStyle w:val="13"/>
              <w:keepNext w:val="0"/>
              <w:keepLines w:val="0"/>
              <w:pageBreakBefore w:val="0"/>
              <w:widowControl/>
              <w:kinsoku/>
              <w:wordWrap/>
              <w:overflowPunct/>
              <w:topLinePunct w:val="0"/>
              <w:autoSpaceDE/>
              <w:autoSpaceDN/>
              <w:bidi w:val="0"/>
              <w:adjustRightInd/>
              <w:snapToGrid/>
              <w:spacing w:line="300" w:lineRule="exact"/>
              <w:textAlignment w:val="center"/>
              <w:rPr>
                <w:snapToGrid w:val="0"/>
                <w:kern w:val="0"/>
              </w:rPr>
            </w:pPr>
            <w:r>
              <w:rPr>
                <w:snapToGrid w:val="0"/>
                <w:kern w:val="0"/>
              </w:rPr>
              <w:t>财政专户核拨</w:t>
            </w:r>
          </w:p>
        </w:tc>
        <w:tc>
          <w:tcPr>
            <w:tcW w:w="669" w:type="dxa"/>
            <w:vAlign w:val="center"/>
          </w:tcPr>
          <w:p>
            <w:pPr>
              <w:pStyle w:val="13"/>
              <w:keepNext w:val="0"/>
              <w:keepLines w:val="0"/>
              <w:pageBreakBefore w:val="0"/>
              <w:widowControl/>
              <w:kinsoku/>
              <w:wordWrap/>
              <w:overflowPunct/>
              <w:topLinePunct w:val="0"/>
              <w:autoSpaceDE/>
              <w:autoSpaceDN/>
              <w:bidi w:val="0"/>
              <w:adjustRightInd/>
              <w:snapToGrid/>
              <w:spacing w:line="300" w:lineRule="exact"/>
              <w:textAlignment w:val="center"/>
              <w:rPr>
                <w:snapToGrid w:val="0"/>
                <w:kern w:val="0"/>
              </w:rPr>
            </w:pPr>
            <w:r>
              <w:rPr>
                <w:snapToGrid w:val="0"/>
                <w:kern w:val="0"/>
              </w:rPr>
              <w:t>单位    资金</w:t>
            </w:r>
          </w:p>
        </w:tc>
        <w:tc>
          <w:tcPr>
            <w:tcW w:w="964" w:type="dxa"/>
            <w:vAlign w:val="center"/>
          </w:tcPr>
          <w:p>
            <w:pPr>
              <w:pStyle w:val="13"/>
              <w:keepNext w:val="0"/>
              <w:keepLines w:val="0"/>
              <w:pageBreakBefore w:val="0"/>
              <w:widowControl/>
              <w:kinsoku/>
              <w:wordWrap/>
              <w:overflowPunct/>
              <w:topLinePunct w:val="0"/>
              <w:autoSpaceDE/>
              <w:autoSpaceDN/>
              <w:bidi w:val="0"/>
              <w:adjustRightInd/>
              <w:snapToGrid/>
              <w:spacing w:line="300" w:lineRule="exact"/>
              <w:textAlignment w:val="center"/>
              <w:rPr>
                <w:snapToGrid w:val="0"/>
                <w:kern w:val="0"/>
              </w:rPr>
            </w:pPr>
            <w:r>
              <w:rPr>
                <w:snapToGrid w:val="0"/>
                <w:kern w:val="0"/>
              </w:rPr>
              <w:t>财政拨    款结转</w:t>
            </w:r>
          </w:p>
        </w:tc>
        <w:tc>
          <w:tcPr>
            <w:tcW w:w="964" w:type="dxa"/>
            <w:vAlign w:val="center"/>
          </w:tcPr>
          <w:p>
            <w:pPr>
              <w:pStyle w:val="13"/>
              <w:keepNext w:val="0"/>
              <w:keepLines w:val="0"/>
              <w:pageBreakBefore w:val="0"/>
              <w:widowControl/>
              <w:kinsoku/>
              <w:wordWrap/>
              <w:overflowPunct/>
              <w:topLinePunct w:val="0"/>
              <w:autoSpaceDE/>
              <w:autoSpaceDN/>
              <w:bidi w:val="0"/>
              <w:adjustRightInd/>
              <w:snapToGrid/>
              <w:spacing w:line="300" w:lineRule="exact"/>
              <w:textAlignment w:val="center"/>
              <w:rPr>
                <w:snapToGrid w:val="0"/>
                <w:kern w:val="0"/>
              </w:rPr>
            </w:pPr>
            <w:r>
              <w:rPr>
                <w:snapToGrid w:val="0"/>
                <w:kern w:val="0"/>
              </w:rPr>
              <w:t>非财政    拨款结    转结余</w:t>
            </w:r>
          </w:p>
        </w:tc>
        <w:tc>
          <w:tcPr>
            <w:tcW w:w="964" w:type="dxa"/>
            <w:vMerge w:val="continue"/>
          </w:tcPr>
          <w:p>
            <w:pPr>
              <w:keepNext w:val="0"/>
              <w:keepLines w:val="0"/>
              <w:pageBreakBefore w:val="0"/>
              <w:widowControl/>
              <w:kinsoku/>
              <w:wordWrap/>
              <w:overflowPunct/>
              <w:topLinePunct w:val="0"/>
              <w:autoSpaceDE/>
              <w:autoSpaceDN/>
              <w:bidi w:val="0"/>
              <w:adjustRightInd/>
              <w:snapToGrid/>
              <w:spacing w:line="300" w:lineRule="exact"/>
              <w:textAlignment w:val="center"/>
              <w:rPr>
                <w:snapToGrid w:val="0"/>
                <w:kern w:val="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9" w:type="dxa"/>
            <w:vAlign w:val="center"/>
          </w:tcPr>
          <w:p>
            <w:pPr>
              <w:pStyle w:val="17"/>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仿宋_GB2312" w:hAnsi="仿宋_GB2312" w:eastAsia="仿宋_GB2312" w:cs="仿宋_GB2312"/>
                <w:snapToGrid w:val="0"/>
                <w:kern w:val="0"/>
              </w:rPr>
            </w:pPr>
            <w:r>
              <w:rPr>
                <w:rFonts w:hint="eastAsia" w:ascii="仿宋_GB2312" w:hAnsi="仿宋_GB2312" w:eastAsia="仿宋_GB2312" w:cs="仿宋_GB2312"/>
                <w:snapToGrid w:val="0"/>
                <w:kern w:val="0"/>
              </w:rPr>
              <w:t>合  计</w:t>
            </w:r>
          </w:p>
        </w:tc>
        <w:tc>
          <w:tcPr>
            <w:tcW w:w="1013" w:type="dxa"/>
            <w:vAlign w:val="center"/>
          </w:tcPr>
          <w:p>
            <w:pPr>
              <w:pStyle w:val="18"/>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仿宋_GB2312" w:hAnsi="仿宋_GB2312" w:eastAsia="仿宋_GB2312" w:cs="仿宋_GB2312"/>
                <w:snapToGrid w:val="0"/>
                <w:kern w:val="0"/>
              </w:rPr>
            </w:pPr>
          </w:p>
        </w:tc>
        <w:tc>
          <w:tcPr>
            <w:tcW w:w="1200" w:type="dxa"/>
            <w:vAlign w:val="center"/>
          </w:tcPr>
          <w:p>
            <w:pPr>
              <w:pStyle w:val="19"/>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仿宋_GB2312" w:hAnsi="仿宋_GB2312" w:eastAsia="仿宋_GB2312" w:cs="仿宋_GB2312"/>
                <w:snapToGrid w:val="0"/>
                <w:kern w:val="0"/>
              </w:rPr>
            </w:pPr>
          </w:p>
        </w:tc>
        <w:tc>
          <w:tcPr>
            <w:tcW w:w="1219" w:type="dxa"/>
            <w:vAlign w:val="center"/>
          </w:tcPr>
          <w:p>
            <w:pPr>
              <w:pStyle w:val="19"/>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仿宋_GB2312" w:hAnsi="仿宋_GB2312" w:eastAsia="仿宋_GB2312" w:cs="仿宋_GB2312"/>
                <w:snapToGrid w:val="0"/>
                <w:kern w:val="0"/>
              </w:rPr>
            </w:pPr>
          </w:p>
        </w:tc>
        <w:tc>
          <w:tcPr>
            <w:tcW w:w="525" w:type="dxa"/>
            <w:vAlign w:val="center"/>
          </w:tcPr>
          <w:p>
            <w:pPr>
              <w:pStyle w:val="17"/>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仿宋_GB2312" w:hAnsi="仿宋_GB2312" w:eastAsia="仿宋_GB2312" w:cs="仿宋_GB2312"/>
                <w:snapToGrid w:val="0"/>
                <w:kern w:val="0"/>
              </w:rPr>
            </w:pPr>
          </w:p>
        </w:tc>
        <w:tc>
          <w:tcPr>
            <w:tcW w:w="581" w:type="dxa"/>
            <w:vAlign w:val="center"/>
          </w:tcPr>
          <w:p>
            <w:pPr>
              <w:pStyle w:val="18"/>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仿宋_GB2312" w:hAnsi="仿宋_GB2312" w:eastAsia="仿宋_GB2312" w:cs="仿宋_GB2312"/>
                <w:snapToGrid w:val="0"/>
                <w:kern w:val="0"/>
              </w:rPr>
            </w:pPr>
          </w:p>
        </w:tc>
        <w:tc>
          <w:tcPr>
            <w:tcW w:w="900" w:type="dxa"/>
            <w:vAlign w:val="center"/>
          </w:tcPr>
          <w:p>
            <w:pPr>
              <w:pStyle w:val="18"/>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仿宋_GB2312" w:hAnsi="仿宋_GB2312" w:eastAsia="仿宋_GB2312" w:cs="仿宋_GB2312"/>
                <w:snapToGrid w:val="0"/>
                <w:kern w:val="0"/>
              </w:rPr>
            </w:pPr>
          </w:p>
        </w:tc>
        <w:tc>
          <w:tcPr>
            <w:tcW w:w="1069" w:type="dxa"/>
            <w:vAlign w:val="center"/>
          </w:tcPr>
          <w:p>
            <w:pPr>
              <w:pStyle w:val="18"/>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仿宋_GB2312" w:hAnsi="仿宋_GB2312" w:eastAsia="仿宋_GB2312" w:cs="仿宋_GB2312"/>
                <w:snapToGrid w:val="0"/>
                <w:kern w:val="0"/>
              </w:rPr>
            </w:pPr>
            <w:r>
              <w:rPr>
                <w:rFonts w:hint="eastAsia" w:ascii="仿宋_GB2312" w:hAnsi="仿宋_GB2312" w:eastAsia="仿宋_GB2312" w:cs="仿宋_GB2312"/>
                <w:snapToGrid w:val="0"/>
                <w:kern w:val="0"/>
              </w:rPr>
              <w:t>933.70</w:t>
            </w:r>
          </w:p>
        </w:tc>
        <w:tc>
          <w:tcPr>
            <w:tcW w:w="993" w:type="dxa"/>
            <w:vAlign w:val="center"/>
          </w:tcPr>
          <w:p>
            <w:pPr>
              <w:pStyle w:val="18"/>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仿宋_GB2312" w:hAnsi="仿宋_GB2312" w:eastAsia="仿宋_GB2312" w:cs="仿宋_GB2312"/>
                <w:snapToGrid w:val="0"/>
                <w:kern w:val="0"/>
              </w:rPr>
            </w:pPr>
            <w:r>
              <w:rPr>
                <w:rFonts w:hint="eastAsia" w:ascii="仿宋_GB2312" w:hAnsi="仿宋_GB2312" w:eastAsia="仿宋_GB2312" w:cs="仿宋_GB2312"/>
                <w:snapToGrid w:val="0"/>
                <w:kern w:val="0"/>
              </w:rPr>
              <w:t>778.26</w:t>
            </w:r>
          </w:p>
        </w:tc>
        <w:tc>
          <w:tcPr>
            <w:tcW w:w="694" w:type="dxa"/>
            <w:vAlign w:val="center"/>
          </w:tcPr>
          <w:p>
            <w:pPr>
              <w:pStyle w:val="18"/>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仿宋_GB2312" w:hAnsi="仿宋_GB2312" w:eastAsia="仿宋_GB2312" w:cs="仿宋_GB2312"/>
                <w:snapToGrid w:val="0"/>
                <w:kern w:val="0"/>
              </w:rPr>
            </w:pPr>
          </w:p>
        </w:tc>
        <w:tc>
          <w:tcPr>
            <w:tcW w:w="1125" w:type="dxa"/>
            <w:vAlign w:val="center"/>
          </w:tcPr>
          <w:p>
            <w:pPr>
              <w:pStyle w:val="18"/>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仿宋_GB2312" w:hAnsi="仿宋_GB2312" w:eastAsia="仿宋_GB2312" w:cs="仿宋_GB2312"/>
                <w:snapToGrid w:val="0"/>
                <w:kern w:val="0"/>
              </w:rPr>
            </w:pPr>
          </w:p>
        </w:tc>
        <w:tc>
          <w:tcPr>
            <w:tcW w:w="825" w:type="dxa"/>
            <w:vAlign w:val="center"/>
          </w:tcPr>
          <w:p>
            <w:pPr>
              <w:pStyle w:val="18"/>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仿宋_GB2312" w:hAnsi="仿宋_GB2312" w:eastAsia="仿宋_GB2312" w:cs="仿宋_GB2312"/>
                <w:snapToGrid w:val="0"/>
                <w:kern w:val="0"/>
              </w:rPr>
            </w:pPr>
          </w:p>
        </w:tc>
        <w:tc>
          <w:tcPr>
            <w:tcW w:w="669" w:type="dxa"/>
            <w:vAlign w:val="center"/>
          </w:tcPr>
          <w:p>
            <w:pPr>
              <w:pStyle w:val="18"/>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仿宋_GB2312" w:hAnsi="仿宋_GB2312" w:eastAsia="仿宋_GB2312" w:cs="仿宋_GB2312"/>
                <w:snapToGrid w:val="0"/>
                <w:kern w:val="0"/>
              </w:rPr>
            </w:pPr>
          </w:p>
        </w:tc>
        <w:tc>
          <w:tcPr>
            <w:tcW w:w="964" w:type="dxa"/>
            <w:vAlign w:val="center"/>
          </w:tcPr>
          <w:p>
            <w:pPr>
              <w:pStyle w:val="18"/>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仿宋_GB2312" w:hAnsi="仿宋_GB2312" w:eastAsia="仿宋_GB2312" w:cs="仿宋_GB2312"/>
                <w:snapToGrid w:val="0"/>
                <w:kern w:val="0"/>
              </w:rPr>
            </w:pPr>
            <w:r>
              <w:rPr>
                <w:rFonts w:hint="eastAsia" w:ascii="仿宋_GB2312" w:hAnsi="仿宋_GB2312" w:eastAsia="仿宋_GB2312" w:cs="仿宋_GB2312"/>
                <w:snapToGrid w:val="0"/>
                <w:kern w:val="0"/>
              </w:rPr>
              <w:t>155.44</w:t>
            </w:r>
          </w:p>
        </w:tc>
        <w:tc>
          <w:tcPr>
            <w:tcW w:w="964" w:type="dxa"/>
            <w:vAlign w:val="center"/>
          </w:tcPr>
          <w:p>
            <w:pPr>
              <w:pStyle w:val="18"/>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仿宋_GB2312" w:hAnsi="仿宋_GB2312" w:eastAsia="仿宋_GB2312" w:cs="仿宋_GB2312"/>
                <w:snapToGrid w:val="0"/>
                <w:kern w:val="0"/>
              </w:rPr>
            </w:pPr>
          </w:p>
        </w:tc>
        <w:tc>
          <w:tcPr>
            <w:tcW w:w="964" w:type="dxa"/>
            <w:vAlign w:val="center"/>
          </w:tcPr>
          <w:p>
            <w:pPr>
              <w:pStyle w:val="18"/>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仿宋_GB2312" w:hAnsi="仿宋_GB2312" w:eastAsia="仿宋_GB2312" w:cs="仿宋_GB2312"/>
                <w:snapToGrid w:val="0"/>
                <w:kern w:val="0"/>
              </w:rPr>
            </w:pPr>
            <w:r>
              <w:rPr>
                <w:rFonts w:hint="eastAsia" w:ascii="仿宋_GB2312" w:hAnsi="仿宋_GB2312" w:eastAsia="仿宋_GB2312" w:cs="仿宋_GB2312"/>
                <w:snapToGrid w:val="0"/>
                <w:kern w:val="0"/>
              </w:rPr>
              <w:t>316.34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9" w:type="dxa"/>
            <w:vAlign w:val="center"/>
          </w:tcPr>
          <w:p>
            <w:pPr>
              <w:pStyle w:val="17"/>
              <w:rPr>
                <w:rFonts w:hint="eastAsia" w:ascii="仿宋_GB2312" w:hAnsi="仿宋_GB2312" w:eastAsia="仿宋_GB2312" w:cs="仿宋_GB2312"/>
              </w:rPr>
            </w:pPr>
            <w:r>
              <w:rPr>
                <w:rFonts w:hint="eastAsia" w:ascii="仿宋_GB2312" w:hAnsi="仿宋_GB2312" w:eastAsia="仿宋_GB2312" w:cs="仿宋_GB2312"/>
              </w:rPr>
              <w:t>廊坊市应急管理局本级小计</w:t>
            </w:r>
          </w:p>
        </w:tc>
        <w:tc>
          <w:tcPr>
            <w:tcW w:w="1013" w:type="dxa"/>
            <w:vAlign w:val="center"/>
          </w:tcPr>
          <w:p>
            <w:pPr>
              <w:pStyle w:val="18"/>
              <w:rPr>
                <w:rFonts w:hint="eastAsia" w:ascii="仿宋_GB2312" w:hAnsi="仿宋_GB2312" w:eastAsia="仿宋_GB2312" w:cs="仿宋_GB2312"/>
              </w:rPr>
            </w:pPr>
          </w:p>
        </w:tc>
        <w:tc>
          <w:tcPr>
            <w:tcW w:w="1200" w:type="dxa"/>
            <w:vAlign w:val="center"/>
          </w:tcPr>
          <w:p>
            <w:pPr>
              <w:pStyle w:val="19"/>
              <w:rPr>
                <w:rFonts w:hint="eastAsia" w:ascii="仿宋_GB2312" w:hAnsi="仿宋_GB2312" w:eastAsia="仿宋_GB2312" w:cs="仿宋_GB2312"/>
              </w:rPr>
            </w:pPr>
          </w:p>
        </w:tc>
        <w:tc>
          <w:tcPr>
            <w:tcW w:w="1219" w:type="dxa"/>
            <w:vAlign w:val="center"/>
          </w:tcPr>
          <w:p>
            <w:pPr>
              <w:pStyle w:val="19"/>
              <w:rPr>
                <w:rFonts w:hint="eastAsia" w:ascii="仿宋_GB2312" w:hAnsi="仿宋_GB2312" w:eastAsia="仿宋_GB2312" w:cs="仿宋_GB2312"/>
              </w:rPr>
            </w:pPr>
          </w:p>
        </w:tc>
        <w:tc>
          <w:tcPr>
            <w:tcW w:w="525" w:type="dxa"/>
            <w:vAlign w:val="center"/>
          </w:tcPr>
          <w:p>
            <w:pPr>
              <w:pStyle w:val="17"/>
              <w:rPr>
                <w:rFonts w:hint="eastAsia" w:ascii="仿宋_GB2312" w:hAnsi="仿宋_GB2312" w:eastAsia="仿宋_GB2312" w:cs="仿宋_GB2312"/>
              </w:rPr>
            </w:pPr>
          </w:p>
        </w:tc>
        <w:tc>
          <w:tcPr>
            <w:tcW w:w="581" w:type="dxa"/>
            <w:vAlign w:val="center"/>
          </w:tcPr>
          <w:p>
            <w:pPr>
              <w:pStyle w:val="18"/>
              <w:rPr>
                <w:rFonts w:hint="eastAsia" w:ascii="仿宋_GB2312" w:hAnsi="仿宋_GB2312" w:eastAsia="仿宋_GB2312" w:cs="仿宋_GB2312"/>
              </w:rPr>
            </w:pPr>
          </w:p>
        </w:tc>
        <w:tc>
          <w:tcPr>
            <w:tcW w:w="900" w:type="dxa"/>
            <w:vAlign w:val="center"/>
          </w:tcPr>
          <w:p>
            <w:pPr>
              <w:pStyle w:val="18"/>
              <w:rPr>
                <w:rFonts w:hint="eastAsia" w:ascii="仿宋_GB2312" w:hAnsi="仿宋_GB2312" w:eastAsia="仿宋_GB2312" w:cs="仿宋_GB2312"/>
              </w:rPr>
            </w:pPr>
          </w:p>
        </w:tc>
        <w:tc>
          <w:tcPr>
            <w:tcW w:w="1069" w:type="dxa"/>
            <w:vAlign w:val="center"/>
          </w:tcPr>
          <w:p>
            <w:pPr>
              <w:pStyle w:val="18"/>
              <w:rPr>
                <w:rFonts w:hint="eastAsia" w:ascii="仿宋_GB2312" w:hAnsi="仿宋_GB2312" w:eastAsia="仿宋_GB2312" w:cs="仿宋_GB2312"/>
              </w:rPr>
            </w:pPr>
            <w:r>
              <w:rPr>
                <w:rFonts w:hint="eastAsia" w:ascii="仿宋_GB2312" w:hAnsi="仿宋_GB2312" w:eastAsia="仿宋_GB2312" w:cs="仿宋_GB2312"/>
              </w:rPr>
              <w:t>933.70</w:t>
            </w:r>
          </w:p>
        </w:tc>
        <w:tc>
          <w:tcPr>
            <w:tcW w:w="993" w:type="dxa"/>
            <w:vAlign w:val="center"/>
          </w:tcPr>
          <w:p>
            <w:pPr>
              <w:pStyle w:val="18"/>
              <w:rPr>
                <w:rFonts w:hint="eastAsia" w:ascii="仿宋_GB2312" w:hAnsi="仿宋_GB2312" w:eastAsia="仿宋_GB2312" w:cs="仿宋_GB2312"/>
              </w:rPr>
            </w:pPr>
            <w:r>
              <w:rPr>
                <w:rFonts w:hint="eastAsia" w:ascii="仿宋_GB2312" w:hAnsi="仿宋_GB2312" w:eastAsia="仿宋_GB2312" w:cs="仿宋_GB2312"/>
              </w:rPr>
              <w:t>778.26</w:t>
            </w:r>
          </w:p>
        </w:tc>
        <w:tc>
          <w:tcPr>
            <w:tcW w:w="694" w:type="dxa"/>
            <w:vAlign w:val="center"/>
          </w:tcPr>
          <w:p>
            <w:pPr>
              <w:pStyle w:val="18"/>
              <w:rPr>
                <w:rFonts w:hint="eastAsia" w:ascii="仿宋_GB2312" w:hAnsi="仿宋_GB2312" w:eastAsia="仿宋_GB2312" w:cs="仿宋_GB2312"/>
              </w:rPr>
            </w:pPr>
          </w:p>
        </w:tc>
        <w:tc>
          <w:tcPr>
            <w:tcW w:w="1125" w:type="dxa"/>
            <w:vAlign w:val="center"/>
          </w:tcPr>
          <w:p>
            <w:pPr>
              <w:pStyle w:val="18"/>
              <w:rPr>
                <w:rFonts w:hint="eastAsia" w:ascii="仿宋_GB2312" w:hAnsi="仿宋_GB2312" w:eastAsia="仿宋_GB2312" w:cs="仿宋_GB2312"/>
              </w:rPr>
            </w:pPr>
          </w:p>
        </w:tc>
        <w:tc>
          <w:tcPr>
            <w:tcW w:w="825" w:type="dxa"/>
            <w:vAlign w:val="center"/>
          </w:tcPr>
          <w:p>
            <w:pPr>
              <w:pStyle w:val="18"/>
              <w:rPr>
                <w:rFonts w:hint="eastAsia" w:ascii="仿宋_GB2312" w:hAnsi="仿宋_GB2312" w:eastAsia="仿宋_GB2312" w:cs="仿宋_GB2312"/>
              </w:rPr>
            </w:pPr>
          </w:p>
        </w:tc>
        <w:tc>
          <w:tcPr>
            <w:tcW w:w="669" w:type="dxa"/>
            <w:vAlign w:val="center"/>
          </w:tcPr>
          <w:p>
            <w:pPr>
              <w:pStyle w:val="18"/>
              <w:rPr>
                <w:rFonts w:hint="eastAsia" w:ascii="仿宋_GB2312" w:hAnsi="仿宋_GB2312" w:eastAsia="仿宋_GB2312" w:cs="仿宋_GB2312"/>
              </w:rPr>
            </w:pPr>
          </w:p>
        </w:tc>
        <w:tc>
          <w:tcPr>
            <w:tcW w:w="964" w:type="dxa"/>
            <w:vAlign w:val="center"/>
          </w:tcPr>
          <w:p>
            <w:pPr>
              <w:pStyle w:val="18"/>
              <w:rPr>
                <w:rFonts w:hint="eastAsia" w:ascii="仿宋_GB2312" w:hAnsi="仿宋_GB2312" w:eastAsia="仿宋_GB2312" w:cs="仿宋_GB2312"/>
              </w:rPr>
            </w:pPr>
            <w:r>
              <w:rPr>
                <w:rFonts w:hint="eastAsia" w:ascii="仿宋_GB2312" w:hAnsi="仿宋_GB2312" w:eastAsia="仿宋_GB2312" w:cs="仿宋_GB2312"/>
              </w:rPr>
              <w:t>155.44</w:t>
            </w:r>
          </w:p>
        </w:tc>
        <w:tc>
          <w:tcPr>
            <w:tcW w:w="964" w:type="dxa"/>
            <w:vAlign w:val="center"/>
          </w:tcPr>
          <w:p>
            <w:pPr>
              <w:pStyle w:val="18"/>
              <w:rPr>
                <w:rFonts w:hint="eastAsia" w:ascii="仿宋_GB2312" w:hAnsi="仿宋_GB2312" w:eastAsia="仿宋_GB2312" w:cs="仿宋_GB2312"/>
              </w:rPr>
            </w:pPr>
          </w:p>
        </w:tc>
        <w:tc>
          <w:tcPr>
            <w:tcW w:w="964" w:type="dxa"/>
            <w:vAlign w:val="center"/>
          </w:tcPr>
          <w:p>
            <w:pPr>
              <w:pStyle w:val="18"/>
              <w:rPr>
                <w:rFonts w:hint="eastAsia" w:ascii="仿宋_GB2312" w:hAnsi="仿宋_GB2312" w:eastAsia="仿宋_GB2312" w:cs="仿宋_GB2312"/>
              </w:rPr>
            </w:pPr>
            <w:r>
              <w:rPr>
                <w:rFonts w:hint="eastAsia" w:ascii="仿宋_GB2312" w:hAnsi="仿宋_GB2312" w:eastAsia="仿宋_GB2312" w:cs="仿宋_GB2312"/>
              </w:rPr>
              <w:t>316.34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76" w:hRule="atLeast"/>
          <w:jc w:val="center"/>
        </w:trPr>
        <w:tc>
          <w:tcPr>
            <w:tcW w:w="1709"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办公场所搬迁专项经费</w:t>
            </w:r>
          </w:p>
        </w:tc>
        <w:tc>
          <w:tcPr>
            <w:tcW w:w="1013"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218.60</w:t>
            </w:r>
          </w:p>
        </w:tc>
        <w:tc>
          <w:tcPr>
            <w:tcW w:w="1200"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装卸搬运服务</w:t>
            </w:r>
          </w:p>
        </w:tc>
        <w:tc>
          <w:tcPr>
            <w:tcW w:w="1219"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C1708</w:t>
            </w:r>
          </w:p>
        </w:tc>
        <w:tc>
          <w:tcPr>
            <w:tcW w:w="525" w:type="dxa"/>
            <w:vAlign w:val="center"/>
          </w:tcPr>
          <w:p>
            <w:pPr>
              <w:pStyle w:val="16"/>
              <w:rPr>
                <w:rFonts w:hint="eastAsia" w:ascii="仿宋_GB2312" w:hAnsi="仿宋_GB2312" w:eastAsia="仿宋_GB2312" w:cs="仿宋_GB2312"/>
              </w:rPr>
            </w:pPr>
            <w:r>
              <w:rPr>
                <w:rFonts w:hint="eastAsia" w:ascii="仿宋_GB2312" w:hAnsi="仿宋_GB2312" w:eastAsia="仿宋_GB2312" w:cs="仿宋_GB2312"/>
              </w:rPr>
              <w:t>项</w:t>
            </w:r>
          </w:p>
        </w:tc>
        <w:tc>
          <w:tcPr>
            <w:tcW w:w="581"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1</w:t>
            </w:r>
          </w:p>
        </w:tc>
        <w:tc>
          <w:tcPr>
            <w:tcW w:w="900"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218.60</w:t>
            </w:r>
          </w:p>
        </w:tc>
        <w:tc>
          <w:tcPr>
            <w:tcW w:w="1069"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218.60</w:t>
            </w:r>
          </w:p>
        </w:tc>
        <w:tc>
          <w:tcPr>
            <w:tcW w:w="993"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218.60</w:t>
            </w:r>
          </w:p>
        </w:tc>
        <w:tc>
          <w:tcPr>
            <w:tcW w:w="694" w:type="dxa"/>
            <w:vAlign w:val="center"/>
          </w:tcPr>
          <w:p>
            <w:pPr>
              <w:pStyle w:val="14"/>
              <w:rPr>
                <w:rFonts w:hint="eastAsia" w:ascii="仿宋_GB2312" w:hAnsi="仿宋_GB2312" w:eastAsia="仿宋_GB2312" w:cs="仿宋_GB2312"/>
              </w:rPr>
            </w:pPr>
          </w:p>
        </w:tc>
        <w:tc>
          <w:tcPr>
            <w:tcW w:w="1125" w:type="dxa"/>
            <w:vAlign w:val="center"/>
          </w:tcPr>
          <w:p>
            <w:pPr>
              <w:pStyle w:val="14"/>
              <w:rPr>
                <w:rFonts w:hint="eastAsia" w:ascii="仿宋_GB2312" w:hAnsi="仿宋_GB2312" w:eastAsia="仿宋_GB2312" w:cs="仿宋_GB2312"/>
              </w:rPr>
            </w:pPr>
          </w:p>
        </w:tc>
        <w:tc>
          <w:tcPr>
            <w:tcW w:w="825" w:type="dxa"/>
            <w:vAlign w:val="center"/>
          </w:tcPr>
          <w:p>
            <w:pPr>
              <w:pStyle w:val="14"/>
              <w:rPr>
                <w:rFonts w:hint="eastAsia" w:ascii="仿宋_GB2312" w:hAnsi="仿宋_GB2312" w:eastAsia="仿宋_GB2312" w:cs="仿宋_GB2312"/>
              </w:rPr>
            </w:pPr>
          </w:p>
        </w:tc>
        <w:tc>
          <w:tcPr>
            <w:tcW w:w="669" w:type="dxa"/>
            <w:vAlign w:val="center"/>
          </w:tcPr>
          <w:p>
            <w:pPr>
              <w:pStyle w:val="14"/>
              <w:rPr>
                <w:rFonts w:hint="eastAsia" w:ascii="仿宋_GB2312" w:hAnsi="仿宋_GB2312" w:eastAsia="仿宋_GB2312" w:cs="仿宋_GB2312"/>
              </w:rPr>
            </w:pPr>
          </w:p>
        </w:tc>
        <w:tc>
          <w:tcPr>
            <w:tcW w:w="964" w:type="dxa"/>
            <w:vAlign w:val="center"/>
          </w:tcPr>
          <w:p>
            <w:pPr>
              <w:pStyle w:val="14"/>
              <w:rPr>
                <w:rFonts w:hint="eastAsia" w:ascii="仿宋_GB2312" w:hAnsi="仿宋_GB2312" w:eastAsia="仿宋_GB2312" w:cs="仿宋_GB2312"/>
              </w:rPr>
            </w:pPr>
          </w:p>
        </w:tc>
        <w:tc>
          <w:tcPr>
            <w:tcW w:w="964" w:type="dxa"/>
            <w:vAlign w:val="center"/>
          </w:tcPr>
          <w:p>
            <w:pPr>
              <w:pStyle w:val="14"/>
              <w:rPr>
                <w:rFonts w:hint="eastAsia" w:ascii="仿宋_GB2312" w:hAnsi="仿宋_GB2312" w:eastAsia="仿宋_GB2312" w:cs="仿宋_GB2312"/>
              </w:rPr>
            </w:pPr>
          </w:p>
        </w:tc>
        <w:tc>
          <w:tcPr>
            <w:tcW w:w="964"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218.60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9"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第一次全国自然灾害综合风险普查专项资金</w:t>
            </w:r>
          </w:p>
        </w:tc>
        <w:tc>
          <w:tcPr>
            <w:tcW w:w="1013"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97.74</w:t>
            </w:r>
          </w:p>
        </w:tc>
        <w:tc>
          <w:tcPr>
            <w:tcW w:w="1200"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其他专业技术服务</w:t>
            </w:r>
          </w:p>
        </w:tc>
        <w:tc>
          <w:tcPr>
            <w:tcW w:w="1219"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C0908</w:t>
            </w:r>
          </w:p>
        </w:tc>
        <w:tc>
          <w:tcPr>
            <w:tcW w:w="525" w:type="dxa"/>
            <w:vAlign w:val="center"/>
          </w:tcPr>
          <w:p>
            <w:pPr>
              <w:pStyle w:val="16"/>
              <w:rPr>
                <w:rFonts w:hint="eastAsia" w:ascii="仿宋_GB2312" w:hAnsi="仿宋_GB2312" w:eastAsia="仿宋_GB2312" w:cs="仿宋_GB2312"/>
              </w:rPr>
            </w:pPr>
            <w:r>
              <w:rPr>
                <w:rFonts w:hint="eastAsia" w:ascii="仿宋_GB2312" w:hAnsi="仿宋_GB2312" w:eastAsia="仿宋_GB2312" w:cs="仿宋_GB2312"/>
              </w:rPr>
              <w:t>项</w:t>
            </w:r>
          </w:p>
        </w:tc>
        <w:tc>
          <w:tcPr>
            <w:tcW w:w="581"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1</w:t>
            </w:r>
          </w:p>
        </w:tc>
        <w:tc>
          <w:tcPr>
            <w:tcW w:w="900"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97.74</w:t>
            </w:r>
          </w:p>
        </w:tc>
        <w:tc>
          <w:tcPr>
            <w:tcW w:w="1069"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97.74</w:t>
            </w:r>
          </w:p>
        </w:tc>
        <w:tc>
          <w:tcPr>
            <w:tcW w:w="993"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97.74</w:t>
            </w:r>
          </w:p>
        </w:tc>
        <w:tc>
          <w:tcPr>
            <w:tcW w:w="694" w:type="dxa"/>
            <w:vAlign w:val="center"/>
          </w:tcPr>
          <w:p>
            <w:pPr>
              <w:pStyle w:val="14"/>
              <w:rPr>
                <w:rFonts w:hint="eastAsia" w:ascii="仿宋_GB2312" w:hAnsi="仿宋_GB2312" w:eastAsia="仿宋_GB2312" w:cs="仿宋_GB2312"/>
              </w:rPr>
            </w:pPr>
          </w:p>
        </w:tc>
        <w:tc>
          <w:tcPr>
            <w:tcW w:w="1125" w:type="dxa"/>
            <w:vAlign w:val="center"/>
          </w:tcPr>
          <w:p>
            <w:pPr>
              <w:pStyle w:val="14"/>
              <w:rPr>
                <w:rFonts w:hint="eastAsia" w:ascii="仿宋_GB2312" w:hAnsi="仿宋_GB2312" w:eastAsia="仿宋_GB2312" w:cs="仿宋_GB2312"/>
              </w:rPr>
            </w:pPr>
          </w:p>
        </w:tc>
        <w:tc>
          <w:tcPr>
            <w:tcW w:w="825" w:type="dxa"/>
            <w:vAlign w:val="center"/>
          </w:tcPr>
          <w:p>
            <w:pPr>
              <w:pStyle w:val="14"/>
              <w:rPr>
                <w:rFonts w:hint="eastAsia" w:ascii="仿宋_GB2312" w:hAnsi="仿宋_GB2312" w:eastAsia="仿宋_GB2312" w:cs="仿宋_GB2312"/>
              </w:rPr>
            </w:pPr>
          </w:p>
        </w:tc>
        <w:tc>
          <w:tcPr>
            <w:tcW w:w="669" w:type="dxa"/>
            <w:vAlign w:val="center"/>
          </w:tcPr>
          <w:p>
            <w:pPr>
              <w:pStyle w:val="14"/>
              <w:rPr>
                <w:rFonts w:hint="eastAsia" w:ascii="仿宋_GB2312" w:hAnsi="仿宋_GB2312" w:eastAsia="仿宋_GB2312" w:cs="仿宋_GB2312"/>
              </w:rPr>
            </w:pPr>
          </w:p>
        </w:tc>
        <w:tc>
          <w:tcPr>
            <w:tcW w:w="964" w:type="dxa"/>
            <w:vAlign w:val="center"/>
          </w:tcPr>
          <w:p>
            <w:pPr>
              <w:pStyle w:val="14"/>
              <w:rPr>
                <w:rFonts w:hint="eastAsia" w:ascii="仿宋_GB2312" w:hAnsi="仿宋_GB2312" w:eastAsia="仿宋_GB2312" w:cs="仿宋_GB2312"/>
              </w:rPr>
            </w:pPr>
          </w:p>
        </w:tc>
        <w:tc>
          <w:tcPr>
            <w:tcW w:w="964" w:type="dxa"/>
            <w:vAlign w:val="center"/>
          </w:tcPr>
          <w:p>
            <w:pPr>
              <w:pStyle w:val="14"/>
              <w:rPr>
                <w:rFonts w:hint="eastAsia" w:ascii="仿宋_GB2312" w:hAnsi="仿宋_GB2312" w:eastAsia="仿宋_GB2312" w:cs="仿宋_GB2312"/>
              </w:rPr>
            </w:pPr>
          </w:p>
        </w:tc>
        <w:tc>
          <w:tcPr>
            <w:tcW w:w="964"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97.74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9"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视频会议系统搬迁和扩建专项资金</w:t>
            </w:r>
          </w:p>
        </w:tc>
        <w:tc>
          <w:tcPr>
            <w:tcW w:w="1013"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461.92</w:t>
            </w:r>
          </w:p>
        </w:tc>
        <w:tc>
          <w:tcPr>
            <w:tcW w:w="1200"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视频会议会议室终端</w:t>
            </w:r>
          </w:p>
        </w:tc>
        <w:tc>
          <w:tcPr>
            <w:tcW w:w="1219"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A02080803</w:t>
            </w:r>
          </w:p>
        </w:tc>
        <w:tc>
          <w:tcPr>
            <w:tcW w:w="525" w:type="dxa"/>
            <w:vAlign w:val="center"/>
          </w:tcPr>
          <w:p>
            <w:pPr>
              <w:pStyle w:val="16"/>
              <w:rPr>
                <w:rFonts w:hint="eastAsia" w:ascii="仿宋_GB2312" w:hAnsi="仿宋_GB2312" w:eastAsia="仿宋_GB2312" w:cs="仿宋_GB2312"/>
              </w:rPr>
            </w:pPr>
            <w:r>
              <w:rPr>
                <w:rFonts w:hint="eastAsia" w:ascii="仿宋_GB2312" w:hAnsi="仿宋_GB2312" w:eastAsia="仿宋_GB2312" w:cs="仿宋_GB2312"/>
              </w:rPr>
              <w:t>套</w:t>
            </w:r>
          </w:p>
        </w:tc>
        <w:tc>
          <w:tcPr>
            <w:tcW w:w="581"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1</w:t>
            </w:r>
          </w:p>
        </w:tc>
        <w:tc>
          <w:tcPr>
            <w:tcW w:w="900"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436.62</w:t>
            </w:r>
          </w:p>
        </w:tc>
        <w:tc>
          <w:tcPr>
            <w:tcW w:w="1069"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436.62</w:t>
            </w:r>
          </w:p>
        </w:tc>
        <w:tc>
          <w:tcPr>
            <w:tcW w:w="993"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436.62</w:t>
            </w:r>
          </w:p>
        </w:tc>
        <w:tc>
          <w:tcPr>
            <w:tcW w:w="694" w:type="dxa"/>
            <w:vAlign w:val="center"/>
          </w:tcPr>
          <w:p>
            <w:pPr>
              <w:pStyle w:val="14"/>
              <w:rPr>
                <w:rFonts w:hint="eastAsia" w:ascii="仿宋_GB2312" w:hAnsi="仿宋_GB2312" w:eastAsia="仿宋_GB2312" w:cs="仿宋_GB2312"/>
              </w:rPr>
            </w:pPr>
          </w:p>
        </w:tc>
        <w:tc>
          <w:tcPr>
            <w:tcW w:w="1125" w:type="dxa"/>
            <w:vAlign w:val="center"/>
          </w:tcPr>
          <w:p>
            <w:pPr>
              <w:pStyle w:val="14"/>
              <w:rPr>
                <w:rFonts w:hint="eastAsia" w:ascii="仿宋_GB2312" w:hAnsi="仿宋_GB2312" w:eastAsia="仿宋_GB2312" w:cs="仿宋_GB2312"/>
              </w:rPr>
            </w:pPr>
          </w:p>
        </w:tc>
        <w:tc>
          <w:tcPr>
            <w:tcW w:w="825" w:type="dxa"/>
            <w:vAlign w:val="center"/>
          </w:tcPr>
          <w:p>
            <w:pPr>
              <w:pStyle w:val="14"/>
              <w:rPr>
                <w:rFonts w:hint="eastAsia" w:ascii="仿宋_GB2312" w:hAnsi="仿宋_GB2312" w:eastAsia="仿宋_GB2312" w:cs="仿宋_GB2312"/>
              </w:rPr>
            </w:pPr>
          </w:p>
        </w:tc>
        <w:tc>
          <w:tcPr>
            <w:tcW w:w="669" w:type="dxa"/>
            <w:vAlign w:val="center"/>
          </w:tcPr>
          <w:p>
            <w:pPr>
              <w:pStyle w:val="14"/>
              <w:rPr>
                <w:rFonts w:hint="eastAsia" w:ascii="仿宋_GB2312" w:hAnsi="仿宋_GB2312" w:eastAsia="仿宋_GB2312" w:cs="仿宋_GB2312"/>
              </w:rPr>
            </w:pPr>
          </w:p>
        </w:tc>
        <w:tc>
          <w:tcPr>
            <w:tcW w:w="964" w:type="dxa"/>
            <w:vAlign w:val="center"/>
          </w:tcPr>
          <w:p>
            <w:pPr>
              <w:pStyle w:val="14"/>
              <w:rPr>
                <w:rFonts w:hint="eastAsia" w:ascii="仿宋_GB2312" w:hAnsi="仿宋_GB2312" w:eastAsia="仿宋_GB2312" w:cs="仿宋_GB2312"/>
              </w:rPr>
            </w:pPr>
          </w:p>
        </w:tc>
        <w:tc>
          <w:tcPr>
            <w:tcW w:w="964" w:type="dxa"/>
            <w:vAlign w:val="center"/>
          </w:tcPr>
          <w:p>
            <w:pPr>
              <w:pStyle w:val="14"/>
              <w:rPr>
                <w:rFonts w:hint="eastAsia" w:ascii="仿宋_GB2312" w:hAnsi="仿宋_GB2312" w:eastAsia="仿宋_GB2312" w:cs="仿宋_GB2312"/>
              </w:rPr>
            </w:pPr>
          </w:p>
        </w:tc>
        <w:tc>
          <w:tcPr>
            <w:tcW w:w="964" w:type="dxa"/>
            <w:vAlign w:val="center"/>
          </w:tcPr>
          <w:p>
            <w:pPr>
              <w:pStyle w:val="14"/>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9"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视频会议系统搬迁和扩建专项资金</w:t>
            </w:r>
          </w:p>
        </w:tc>
        <w:tc>
          <w:tcPr>
            <w:tcW w:w="1013"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461.92</w:t>
            </w:r>
          </w:p>
        </w:tc>
        <w:tc>
          <w:tcPr>
            <w:tcW w:w="1200"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其他系统集成实施服务</w:t>
            </w:r>
          </w:p>
        </w:tc>
        <w:tc>
          <w:tcPr>
            <w:tcW w:w="1219"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C020299</w:t>
            </w:r>
          </w:p>
        </w:tc>
        <w:tc>
          <w:tcPr>
            <w:tcW w:w="525" w:type="dxa"/>
            <w:vAlign w:val="center"/>
          </w:tcPr>
          <w:p>
            <w:pPr>
              <w:pStyle w:val="16"/>
              <w:rPr>
                <w:rFonts w:hint="eastAsia" w:ascii="仿宋_GB2312" w:hAnsi="仿宋_GB2312" w:eastAsia="仿宋_GB2312" w:cs="仿宋_GB2312"/>
              </w:rPr>
            </w:pPr>
            <w:r>
              <w:rPr>
                <w:rFonts w:hint="eastAsia" w:ascii="仿宋_GB2312" w:hAnsi="仿宋_GB2312" w:eastAsia="仿宋_GB2312" w:cs="仿宋_GB2312"/>
              </w:rPr>
              <w:t>项</w:t>
            </w:r>
          </w:p>
        </w:tc>
        <w:tc>
          <w:tcPr>
            <w:tcW w:w="581"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1</w:t>
            </w:r>
          </w:p>
        </w:tc>
        <w:tc>
          <w:tcPr>
            <w:tcW w:w="900"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25.30</w:t>
            </w:r>
          </w:p>
        </w:tc>
        <w:tc>
          <w:tcPr>
            <w:tcW w:w="1069"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25.30</w:t>
            </w:r>
          </w:p>
        </w:tc>
        <w:tc>
          <w:tcPr>
            <w:tcW w:w="993"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25.30</w:t>
            </w:r>
          </w:p>
        </w:tc>
        <w:tc>
          <w:tcPr>
            <w:tcW w:w="694" w:type="dxa"/>
            <w:vAlign w:val="center"/>
          </w:tcPr>
          <w:p>
            <w:pPr>
              <w:pStyle w:val="14"/>
              <w:rPr>
                <w:rFonts w:hint="eastAsia" w:ascii="仿宋_GB2312" w:hAnsi="仿宋_GB2312" w:eastAsia="仿宋_GB2312" w:cs="仿宋_GB2312"/>
              </w:rPr>
            </w:pPr>
          </w:p>
        </w:tc>
        <w:tc>
          <w:tcPr>
            <w:tcW w:w="1125" w:type="dxa"/>
            <w:vAlign w:val="center"/>
          </w:tcPr>
          <w:p>
            <w:pPr>
              <w:pStyle w:val="14"/>
              <w:rPr>
                <w:rFonts w:hint="eastAsia" w:ascii="仿宋_GB2312" w:hAnsi="仿宋_GB2312" w:eastAsia="仿宋_GB2312" w:cs="仿宋_GB2312"/>
              </w:rPr>
            </w:pPr>
          </w:p>
        </w:tc>
        <w:tc>
          <w:tcPr>
            <w:tcW w:w="825" w:type="dxa"/>
            <w:vAlign w:val="center"/>
          </w:tcPr>
          <w:p>
            <w:pPr>
              <w:pStyle w:val="14"/>
              <w:rPr>
                <w:rFonts w:hint="eastAsia" w:ascii="仿宋_GB2312" w:hAnsi="仿宋_GB2312" w:eastAsia="仿宋_GB2312" w:cs="仿宋_GB2312"/>
              </w:rPr>
            </w:pPr>
          </w:p>
        </w:tc>
        <w:tc>
          <w:tcPr>
            <w:tcW w:w="669" w:type="dxa"/>
            <w:vAlign w:val="center"/>
          </w:tcPr>
          <w:p>
            <w:pPr>
              <w:pStyle w:val="14"/>
              <w:rPr>
                <w:rFonts w:hint="eastAsia" w:ascii="仿宋_GB2312" w:hAnsi="仿宋_GB2312" w:eastAsia="仿宋_GB2312" w:cs="仿宋_GB2312"/>
              </w:rPr>
            </w:pPr>
          </w:p>
        </w:tc>
        <w:tc>
          <w:tcPr>
            <w:tcW w:w="964" w:type="dxa"/>
            <w:vAlign w:val="center"/>
          </w:tcPr>
          <w:p>
            <w:pPr>
              <w:pStyle w:val="14"/>
              <w:rPr>
                <w:rFonts w:hint="eastAsia" w:ascii="仿宋_GB2312" w:hAnsi="仿宋_GB2312" w:eastAsia="仿宋_GB2312" w:cs="仿宋_GB2312"/>
              </w:rPr>
            </w:pPr>
          </w:p>
        </w:tc>
        <w:tc>
          <w:tcPr>
            <w:tcW w:w="964" w:type="dxa"/>
            <w:vAlign w:val="center"/>
          </w:tcPr>
          <w:p>
            <w:pPr>
              <w:pStyle w:val="14"/>
              <w:rPr>
                <w:rFonts w:hint="eastAsia" w:ascii="仿宋_GB2312" w:hAnsi="仿宋_GB2312" w:eastAsia="仿宋_GB2312" w:cs="仿宋_GB2312"/>
              </w:rPr>
            </w:pPr>
          </w:p>
        </w:tc>
        <w:tc>
          <w:tcPr>
            <w:tcW w:w="964" w:type="dxa"/>
            <w:vAlign w:val="center"/>
          </w:tcPr>
          <w:p>
            <w:pPr>
              <w:pStyle w:val="14"/>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9"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2021年第二批新型基础设施建设专项（应急通信领域）中央基建资金</w:t>
            </w:r>
          </w:p>
        </w:tc>
        <w:tc>
          <w:tcPr>
            <w:tcW w:w="1013"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15.44</w:t>
            </w:r>
          </w:p>
        </w:tc>
        <w:tc>
          <w:tcPr>
            <w:tcW w:w="1200" w:type="dxa"/>
            <w:vAlign w:val="center"/>
          </w:tcPr>
          <w:p>
            <w:pPr>
              <w:pStyle w:val="15"/>
              <w:rPr>
                <w:rFonts w:hint="eastAsia" w:ascii="仿宋_GB2312" w:hAnsi="仿宋_GB2312" w:eastAsia="仿宋_GB2312" w:cs="仿宋_GB2312"/>
              </w:rPr>
            </w:pPr>
          </w:p>
        </w:tc>
        <w:tc>
          <w:tcPr>
            <w:tcW w:w="1219" w:type="dxa"/>
            <w:vAlign w:val="center"/>
          </w:tcPr>
          <w:p>
            <w:pPr>
              <w:pStyle w:val="15"/>
              <w:rPr>
                <w:rFonts w:hint="eastAsia" w:ascii="仿宋_GB2312" w:hAnsi="仿宋_GB2312" w:eastAsia="仿宋_GB2312" w:cs="仿宋_GB2312"/>
              </w:rPr>
            </w:pPr>
          </w:p>
        </w:tc>
        <w:tc>
          <w:tcPr>
            <w:tcW w:w="525" w:type="dxa"/>
            <w:vAlign w:val="center"/>
          </w:tcPr>
          <w:p>
            <w:pPr>
              <w:pStyle w:val="16"/>
              <w:rPr>
                <w:rFonts w:hint="eastAsia" w:ascii="仿宋_GB2312" w:hAnsi="仿宋_GB2312" w:eastAsia="仿宋_GB2312" w:cs="仿宋_GB2312"/>
              </w:rPr>
            </w:pPr>
          </w:p>
        </w:tc>
        <w:tc>
          <w:tcPr>
            <w:tcW w:w="581" w:type="dxa"/>
            <w:vAlign w:val="center"/>
          </w:tcPr>
          <w:p>
            <w:pPr>
              <w:pStyle w:val="14"/>
              <w:rPr>
                <w:rFonts w:hint="eastAsia" w:ascii="仿宋_GB2312" w:hAnsi="仿宋_GB2312" w:eastAsia="仿宋_GB2312" w:cs="仿宋_GB2312"/>
              </w:rPr>
            </w:pPr>
          </w:p>
        </w:tc>
        <w:tc>
          <w:tcPr>
            <w:tcW w:w="900" w:type="dxa"/>
            <w:vAlign w:val="center"/>
          </w:tcPr>
          <w:p>
            <w:pPr>
              <w:pStyle w:val="14"/>
              <w:rPr>
                <w:rFonts w:hint="eastAsia" w:ascii="仿宋_GB2312" w:hAnsi="仿宋_GB2312" w:eastAsia="仿宋_GB2312" w:cs="仿宋_GB2312"/>
              </w:rPr>
            </w:pPr>
          </w:p>
        </w:tc>
        <w:tc>
          <w:tcPr>
            <w:tcW w:w="1069"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15.44</w:t>
            </w:r>
          </w:p>
        </w:tc>
        <w:tc>
          <w:tcPr>
            <w:tcW w:w="993" w:type="dxa"/>
            <w:vAlign w:val="center"/>
          </w:tcPr>
          <w:p>
            <w:pPr>
              <w:pStyle w:val="14"/>
              <w:rPr>
                <w:rFonts w:hint="eastAsia" w:ascii="仿宋_GB2312" w:hAnsi="仿宋_GB2312" w:eastAsia="仿宋_GB2312" w:cs="仿宋_GB2312"/>
              </w:rPr>
            </w:pPr>
          </w:p>
        </w:tc>
        <w:tc>
          <w:tcPr>
            <w:tcW w:w="694" w:type="dxa"/>
            <w:vAlign w:val="center"/>
          </w:tcPr>
          <w:p>
            <w:pPr>
              <w:pStyle w:val="14"/>
              <w:rPr>
                <w:rFonts w:hint="eastAsia" w:ascii="仿宋_GB2312" w:hAnsi="仿宋_GB2312" w:eastAsia="仿宋_GB2312" w:cs="仿宋_GB2312"/>
              </w:rPr>
            </w:pPr>
          </w:p>
        </w:tc>
        <w:tc>
          <w:tcPr>
            <w:tcW w:w="1125" w:type="dxa"/>
            <w:vAlign w:val="center"/>
          </w:tcPr>
          <w:p>
            <w:pPr>
              <w:pStyle w:val="14"/>
              <w:rPr>
                <w:rFonts w:hint="eastAsia" w:ascii="仿宋_GB2312" w:hAnsi="仿宋_GB2312" w:eastAsia="仿宋_GB2312" w:cs="仿宋_GB2312"/>
              </w:rPr>
            </w:pPr>
          </w:p>
        </w:tc>
        <w:tc>
          <w:tcPr>
            <w:tcW w:w="825" w:type="dxa"/>
            <w:vAlign w:val="center"/>
          </w:tcPr>
          <w:p>
            <w:pPr>
              <w:pStyle w:val="14"/>
              <w:rPr>
                <w:rFonts w:hint="eastAsia" w:ascii="仿宋_GB2312" w:hAnsi="仿宋_GB2312" w:eastAsia="仿宋_GB2312" w:cs="仿宋_GB2312"/>
              </w:rPr>
            </w:pPr>
          </w:p>
        </w:tc>
        <w:tc>
          <w:tcPr>
            <w:tcW w:w="669" w:type="dxa"/>
            <w:vAlign w:val="center"/>
          </w:tcPr>
          <w:p>
            <w:pPr>
              <w:pStyle w:val="14"/>
              <w:rPr>
                <w:rFonts w:hint="eastAsia" w:ascii="仿宋_GB2312" w:hAnsi="仿宋_GB2312" w:eastAsia="仿宋_GB2312" w:cs="仿宋_GB2312"/>
              </w:rPr>
            </w:pPr>
          </w:p>
        </w:tc>
        <w:tc>
          <w:tcPr>
            <w:tcW w:w="964"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15.44</w:t>
            </w:r>
          </w:p>
        </w:tc>
        <w:tc>
          <w:tcPr>
            <w:tcW w:w="964" w:type="dxa"/>
            <w:vAlign w:val="center"/>
          </w:tcPr>
          <w:p>
            <w:pPr>
              <w:pStyle w:val="14"/>
              <w:rPr>
                <w:rFonts w:hint="eastAsia" w:ascii="仿宋_GB2312" w:hAnsi="仿宋_GB2312" w:eastAsia="仿宋_GB2312" w:cs="仿宋_GB2312"/>
              </w:rPr>
            </w:pPr>
          </w:p>
        </w:tc>
        <w:tc>
          <w:tcPr>
            <w:tcW w:w="964" w:type="dxa"/>
            <w:vAlign w:val="center"/>
          </w:tcPr>
          <w:p>
            <w:pPr>
              <w:pStyle w:val="14"/>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9"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2021年中央自然灾害救灾资金</w:t>
            </w:r>
          </w:p>
        </w:tc>
        <w:tc>
          <w:tcPr>
            <w:tcW w:w="1013"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100.00</w:t>
            </w:r>
          </w:p>
        </w:tc>
        <w:tc>
          <w:tcPr>
            <w:tcW w:w="1200" w:type="dxa"/>
            <w:vAlign w:val="center"/>
          </w:tcPr>
          <w:p>
            <w:pPr>
              <w:pStyle w:val="15"/>
              <w:rPr>
                <w:rFonts w:hint="eastAsia" w:ascii="仿宋_GB2312" w:hAnsi="仿宋_GB2312" w:eastAsia="仿宋_GB2312" w:cs="仿宋_GB2312"/>
              </w:rPr>
            </w:pPr>
          </w:p>
        </w:tc>
        <w:tc>
          <w:tcPr>
            <w:tcW w:w="1219" w:type="dxa"/>
            <w:vAlign w:val="center"/>
          </w:tcPr>
          <w:p>
            <w:pPr>
              <w:pStyle w:val="15"/>
              <w:rPr>
                <w:rFonts w:hint="eastAsia" w:ascii="仿宋_GB2312" w:hAnsi="仿宋_GB2312" w:eastAsia="仿宋_GB2312" w:cs="仿宋_GB2312"/>
              </w:rPr>
            </w:pPr>
          </w:p>
        </w:tc>
        <w:tc>
          <w:tcPr>
            <w:tcW w:w="525" w:type="dxa"/>
            <w:vAlign w:val="center"/>
          </w:tcPr>
          <w:p>
            <w:pPr>
              <w:pStyle w:val="16"/>
              <w:rPr>
                <w:rFonts w:hint="eastAsia" w:ascii="仿宋_GB2312" w:hAnsi="仿宋_GB2312" w:eastAsia="仿宋_GB2312" w:cs="仿宋_GB2312"/>
              </w:rPr>
            </w:pPr>
          </w:p>
        </w:tc>
        <w:tc>
          <w:tcPr>
            <w:tcW w:w="581" w:type="dxa"/>
            <w:vAlign w:val="center"/>
          </w:tcPr>
          <w:p>
            <w:pPr>
              <w:pStyle w:val="14"/>
              <w:rPr>
                <w:rFonts w:hint="eastAsia" w:ascii="仿宋_GB2312" w:hAnsi="仿宋_GB2312" w:eastAsia="仿宋_GB2312" w:cs="仿宋_GB2312"/>
              </w:rPr>
            </w:pPr>
          </w:p>
        </w:tc>
        <w:tc>
          <w:tcPr>
            <w:tcW w:w="900" w:type="dxa"/>
            <w:vAlign w:val="center"/>
          </w:tcPr>
          <w:p>
            <w:pPr>
              <w:pStyle w:val="14"/>
              <w:rPr>
                <w:rFonts w:hint="eastAsia" w:ascii="仿宋_GB2312" w:hAnsi="仿宋_GB2312" w:eastAsia="仿宋_GB2312" w:cs="仿宋_GB2312"/>
              </w:rPr>
            </w:pPr>
          </w:p>
        </w:tc>
        <w:tc>
          <w:tcPr>
            <w:tcW w:w="1069"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100.00</w:t>
            </w:r>
          </w:p>
        </w:tc>
        <w:tc>
          <w:tcPr>
            <w:tcW w:w="993" w:type="dxa"/>
            <w:vAlign w:val="center"/>
          </w:tcPr>
          <w:p>
            <w:pPr>
              <w:pStyle w:val="14"/>
              <w:rPr>
                <w:rFonts w:hint="eastAsia" w:ascii="仿宋_GB2312" w:hAnsi="仿宋_GB2312" w:eastAsia="仿宋_GB2312" w:cs="仿宋_GB2312"/>
              </w:rPr>
            </w:pPr>
          </w:p>
        </w:tc>
        <w:tc>
          <w:tcPr>
            <w:tcW w:w="694" w:type="dxa"/>
            <w:vAlign w:val="center"/>
          </w:tcPr>
          <w:p>
            <w:pPr>
              <w:pStyle w:val="14"/>
              <w:rPr>
                <w:rFonts w:hint="eastAsia" w:ascii="仿宋_GB2312" w:hAnsi="仿宋_GB2312" w:eastAsia="仿宋_GB2312" w:cs="仿宋_GB2312"/>
              </w:rPr>
            </w:pPr>
          </w:p>
        </w:tc>
        <w:tc>
          <w:tcPr>
            <w:tcW w:w="1125" w:type="dxa"/>
            <w:vAlign w:val="center"/>
          </w:tcPr>
          <w:p>
            <w:pPr>
              <w:pStyle w:val="14"/>
              <w:rPr>
                <w:rFonts w:hint="eastAsia" w:ascii="仿宋_GB2312" w:hAnsi="仿宋_GB2312" w:eastAsia="仿宋_GB2312" w:cs="仿宋_GB2312"/>
              </w:rPr>
            </w:pPr>
          </w:p>
        </w:tc>
        <w:tc>
          <w:tcPr>
            <w:tcW w:w="825" w:type="dxa"/>
            <w:vAlign w:val="center"/>
          </w:tcPr>
          <w:p>
            <w:pPr>
              <w:pStyle w:val="14"/>
              <w:rPr>
                <w:rFonts w:hint="eastAsia" w:ascii="仿宋_GB2312" w:hAnsi="仿宋_GB2312" w:eastAsia="仿宋_GB2312" w:cs="仿宋_GB2312"/>
              </w:rPr>
            </w:pPr>
          </w:p>
        </w:tc>
        <w:tc>
          <w:tcPr>
            <w:tcW w:w="669" w:type="dxa"/>
            <w:vAlign w:val="center"/>
          </w:tcPr>
          <w:p>
            <w:pPr>
              <w:pStyle w:val="14"/>
              <w:rPr>
                <w:rFonts w:hint="eastAsia" w:ascii="仿宋_GB2312" w:hAnsi="仿宋_GB2312" w:eastAsia="仿宋_GB2312" w:cs="仿宋_GB2312"/>
              </w:rPr>
            </w:pPr>
          </w:p>
        </w:tc>
        <w:tc>
          <w:tcPr>
            <w:tcW w:w="964"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100.00</w:t>
            </w:r>
          </w:p>
        </w:tc>
        <w:tc>
          <w:tcPr>
            <w:tcW w:w="964" w:type="dxa"/>
            <w:vAlign w:val="center"/>
          </w:tcPr>
          <w:p>
            <w:pPr>
              <w:pStyle w:val="14"/>
              <w:rPr>
                <w:rFonts w:hint="eastAsia" w:ascii="仿宋_GB2312" w:hAnsi="仿宋_GB2312" w:eastAsia="仿宋_GB2312" w:cs="仿宋_GB2312"/>
              </w:rPr>
            </w:pPr>
          </w:p>
        </w:tc>
        <w:tc>
          <w:tcPr>
            <w:tcW w:w="964" w:type="dxa"/>
            <w:vAlign w:val="center"/>
          </w:tcPr>
          <w:p>
            <w:pPr>
              <w:pStyle w:val="14"/>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9"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应急管理信息平台设备购置专项资金</w:t>
            </w:r>
          </w:p>
        </w:tc>
        <w:tc>
          <w:tcPr>
            <w:tcW w:w="1013"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40.00</w:t>
            </w:r>
          </w:p>
        </w:tc>
        <w:tc>
          <w:tcPr>
            <w:tcW w:w="1200" w:type="dxa"/>
            <w:vAlign w:val="center"/>
          </w:tcPr>
          <w:p>
            <w:pPr>
              <w:pStyle w:val="15"/>
              <w:rPr>
                <w:rFonts w:hint="eastAsia" w:ascii="仿宋_GB2312" w:hAnsi="仿宋_GB2312" w:eastAsia="仿宋_GB2312" w:cs="仿宋_GB2312"/>
              </w:rPr>
            </w:pPr>
          </w:p>
        </w:tc>
        <w:tc>
          <w:tcPr>
            <w:tcW w:w="1219" w:type="dxa"/>
            <w:vAlign w:val="center"/>
          </w:tcPr>
          <w:p>
            <w:pPr>
              <w:pStyle w:val="15"/>
              <w:rPr>
                <w:rFonts w:hint="eastAsia" w:ascii="仿宋_GB2312" w:hAnsi="仿宋_GB2312" w:eastAsia="仿宋_GB2312" w:cs="仿宋_GB2312"/>
              </w:rPr>
            </w:pPr>
          </w:p>
        </w:tc>
        <w:tc>
          <w:tcPr>
            <w:tcW w:w="525" w:type="dxa"/>
            <w:vAlign w:val="center"/>
          </w:tcPr>
          <w:p>
            <w:pPr>
              <w:pStyle w:val="16"/>
              <w:rPr>
                <w:rFonts w:hint="eastAsia" w:ascii="仿宋_GB2312" w:hAnsi="仿宋_GB2312" w:eastAsia="仿宋_GB2312" w:cs="仿宋_GB2312"/>
              </w:rPr>
            </w:pPr>
          </w:p>
        </w:tc>
        <w:tc>
          <w:tcPr>
            <w:tcW w:w="581" w:type="dxa"/>
            <w:vAlign w:val="center"/>
          </w:tcPr>
          <w:p>
            <w:pPr>
              <w:pStyle w:val="14"/>
              <w:rPr>
                <w:rFonts w:hint="eastAsia" w:ascii="仿宋_GB2312" w:hAnsi="仿宋_GB2312" w:eastAsia="仿宋_GB2312" w:cs="仿宋_GB2312"/>
              </w:rPr>
            </w:pPr>
          </w:p>
        </w:tc>
        <w:tc>
          <w:tcPr>
            <w:tcW w:w="900" w:type="dxa"/>
            <w:vAlign w:val="center"/>
          </w:tcPr>
          <w:p>
            <w:pPr>
              <w:pStyle w:val="14"/>
              <w:rPr>
                <w:rFonts w:hint="eastAsia" w:ascii="仿宋_GB2312" w:hAnsi="仿宋_GB2312" w:eastAsia="仿宋_GB2312" w:cs="仿宋_GB2312"/>
              </w:rPr>
            </w:pPr>
          </w:p>
        </w:tc>
        <w:tc>
          <w:tcPr>
            <w:tcW w:w="1069"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5.00</w:t>
            </w:r>
          </w:p>
        </w:tc>
        <w:tc>
          <w:tcPr>
            <w:tcW w:w="993" w:type="dxa"/>
            <w:vAlign w:val="center"/>
          </w:tcPr>
          <w:p>
            <w:pPr>
              <w:pStyle w:val="14"/>
              <w:rPr>
                <w:rFonts w:hint="eastAsia" w:ascii="仿宋_GB2312" w:hAnsi="仿宋_GB2312" w:eastAsia="仿宋_GB2312" w:cs="仿宋_GB2312"/>
              </w:rPr>
            </w:pPr>
          </w:p>
        </w:tc>
        <w:tc>
          <w:tcPr>
            <w:tcW w:w="694" w:type="dxa"/>
            <w:vAlign w:val="center"/>
          </w:tcPr>
          <w:p>
            <w:pPr>
              <w:pStyle w:val="14"/>
              <w:rPr>
                <w:rFonts w:hint="eastAsia" w:ascii="仿宋_GB2312" w:hAnsi="仿宋_GB2312" w:eastAsia="仿宋_GB2312" w:cs="仿宋_GB2312"/>
              </w:rPr>
            </w:pPr>
          </w:p>
        </w:tc>
        <w:tc>
          <w:tcPr>
            <w:tcW w:w="1125" w:type="dxa"/>
            <w:vAlign w:val="center"/>
          </w:tcPr>
          <w:p>
            <w:pPr>
              <w:pStyle w:val="14"/>
              <w:rPr>
                <w:rFonts w:hint="eastAsia" w:ascii="仿宋_GB2312" w:hAnsi="仿宋_GB2312" w:eastAsia="仿宋_GB2312" w:cs="仿宋_GB2312"/>
              </w:rPr>
            </w:pPr>
          </w:p>
        </w:tc>
        <w:tc>
          <w:tcPr>
            <w:tcW w:w="825" w:type="dxa"/>
            <w:vAlign w:val="center"/>
          </w:tcPr>
          <w:p>
            <w:pPr>
              <w:pStyle w:val="14"/>
              <w:rPr>
                <w:rFonts w:hint="eastAsia" w:ascii="仿宋_GB2312" w:hAnsi="仿宋_GB2312" w:eastAsia="仿宋_GB2312" w:cs="仿宋_GB2312"/>
              </w:rPr>
            </w:pPr>
          </w:p>
        </w:tc>
        <w:tc>
          <w:tcPr>
            <w:tcW w:w="669" w:type="dxa"/>
            <w:vAlign w:val="center"/>
          </w:tcPr>
          <w:p>
            <w:pPr>
              <w:pStyle w:val="14"/>
              <w:rPr>
                <w:rFonts w:hint="eastAsia" w:ascii="仿宋_GB2312" w:hAnsi="仿宋_GB2312" w:eastAsia="仿宋_GB2312" w:cs="仿宋_GB2312"/>
              </w:rPr>
            </w:pPr>
          </w:p>
        </w:tc>
        <w:tc>
          <w:tcPr>
            <w:tcW w:w="964"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5.00</w:t>
            </w:r>
          </w:p>
        </w:tc>
        <w:tc>
          <w:tcPr>
            <w:tcW w:w="964" w:type="dxa"/>
            <w:vAlign w:val="center"/>
          </w:tcPr>
          <w:p>
            <w:pPr>
              <w:pStyle w:val="14"/>
              <w:rPr>
                <w:rFonts w:hint="eastAsia" w:ascii="仿宋_GB2312" w:hAnsi="仿宋_GB2312" w:eastAsia="仿宋_GB2312" w:cs="仿宋_GB2312"/>
              </w:rPr>
            </w:pPr>
          </w:p>
        </w:tc>
        <w:tc>
          <w:tcPr>
            <w:tcW w:w="964" w:type="dxa"/>
            <w:vAlign w:val="center"/>
          </w:tcPr>
          <w:p>
            <w:pPr>
              <w:pStyle w:val="14"/>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9" w:type="dxa"/>
            <w:vAlign w:val="center"/>
          </w:tcPr>
          <w:p>
            <w:pPr>
              <w:pStyle w:val="15"/>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应急管理信息平台设备购置专项资金</w:t>
            </w:r>
          </w:p>
        </w:tc>
        <w:tc>
          <w:tcPr>
            <w:tcW w:w="1013" w:type="dxa"/>
            <w:vAlign w:val="center"/>
          </w:tcPr>
          <w:p>
            <w:pPr>
              <w:pStyle w:val="14"/>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40.00</w:t>
            </w:r>
          </w:p>
        </w:tc>
        <w:tc>
          <w:tcPr>
            <w:tcW w:w="1200" w:type="dxa"/>
            <w:vAlign w:val="center"/>
          </w:tcPr>
          <w:p>
            <w:pPr>
              <w:pStyle w:val="15"/>
              <w:rPr>
                <w:rFonts w:hint="eastAsia" w:ascii="仿宋_GB2312" w:hAnsi="仿宋_GB2312" w:eastAsia="仿宋_GB2312" w:cs="仿宋_GB2312"/>
                <w:kern w:val="0"/>
                <w:sz w:val="21"/>
                <w:szCs w:val="24"/>
                <w:lang w:val="en-US" w:eastAsia="uk-UA" w:bidi="ar-SA"/>
              </w:rPr>
            </w:pPr>
          </w:p>
        </w:tc>
        <w:tc>
          <w:tcPr>
            <w:tcW w:w="1219" w:type="dxa"/>
            <w:vAlign w:val="center"/>
          </w:tcPr>
          <w:p>
            <w:pPr>
              <w:pStyle w:val="15"/>
              <w:rPr>
                <w:rFonts w:hint="eastAsia" w:ascii="仿宋_GB2312" w:hAnsi="仿宋_GB2312" w:eastAsia="仿宋_GB2312" w:cs="仿宋_GB2312"/>
                <w:kern w:val="0"/>
                <w:sz w:val="21"/>
                <w:szCs w:val="24"/>
                <w:lang w:val="en-US" w:eastAsia="uk-UA" w:bidi="ar-SA"/>
              </w:rPr>
            </w:pPr>
          </w:p>
        </w:tc>
        <w:tc>
          <w:tcPr>
            <w:tcW w:w="525" w:type="dxa"/>
            <w:vAlign w:val="center"/>
          </w:tcPr>
          <w:p>
            <w:pPr>
              <w:pStyle w:val="16"/>
              <w:rPr>
                <w:rFonts w:hint="eastAsia" w:ascii="仿宋_GB2312" w:hAnsi="仿宋_GB2312" w:eastAsia="仿宋_GB2312" w:cs="仿宋_GB2312"/>
                <w:kern w:val="0"/>
                <w:sz w:val="21"/>
                <w:szCs w:val="24"/>
                <w:lang w:val="en-US" w:eastAsia="uk-UA" w:bidi="ar-SA"/>
              </w:rPr>
            </w:pPr>
          </w:p>
        </w:tc>
        <w:tc>
          <w:tcPr>
            <w:tcW w:w="581" w:type="dxa"/>
            <w:vAlign w:val="center"/>
          </w:tcPr>
          <w:p>
            <w:pPr>
              <w:pStyle w:val="14"/>
              <w:rPr>
                <w:rFonts w:hint="eastAsia" w:ascii="仿宋_GB2312" w:hAnsi="仿宋_GB2312" w:eastAsia="仿宋_GB2312" w:cs="仿宋_GB2312"/>
                <w:kern w:val="0"/>
                <w:sz w:val="21"/>
                <w:szCs w:val="24"/>
                <w:lang w:val="en-US" w:eastAsia="uk-UA" w:bidi="ar-SA"/>
              </w:rPr>
            </w:pPr>
          </w:p>
        </w:tc>
        <w:tc>
          <w:tcPr>
            <w:tcW w:w="900" w:type="dxa"/>
            <w:vAlign w:val="center"/>
          </w:tcPr>
          <w:p>
            <w:pPr>
              <w:pStyle w:val="14"/>
              <w:rPr>
                <w:rFonts w:hint="eastAsia" w:ascii="仿宋_GB2312" w:hAnsi="仿宋_GB2312" w:eastAsia="仿宋_GB2312" w:cs="仿宋_GB2312"/>
                <w:kern w:val="0"/>
                <w:sz w:val="21"/>
                <w:szCs w:val="24"/>
                <w:lang w:val="en-US" w:eastAsia="uk-UA" w:bidi="ar-SA"/>
              </w:rPr>
            </w:pPr>
          </w:p>
        </w:tc>
        <w:tc>
          <w:tcPr>
            <w:tcW w:w="1069" w:type="dxa"/>
            <w:vAlign w:val="center"/>
          </w:tcPr>
          <w:p>
            <w:pPr>
              <w:pStyle w:val="14"/>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35.00</w:t>
            </w:r>
          </w:p>
        </w:tc>
        <w:tc>
          <w:tcPr>
            <w:tcW w:w="993" w:type="dxa"/>
            <w:vAlign w:val="center"/>
          </w:tcPr>
          <w:p>
            <w:pPr>
              <w:pStyle w:val="14"/>
              <w:rPr>
                <w:rFonts w:hint="eastAsia" w:ascii="仿宋_GB2312" w:hAnsi="仿宋_GB2312" w:eastAsia="仿宋_GB2312" w:cs="仿宋_GB2312"/>
                <w:kern w:val="0"/>
                <w:sz w:val="21"/>
                <w:szCs w:val="24"/>
                <w:lang w:val="en-US" w:eastAsia="uk-UA" w:bidi="ar-SA"/>
              </w:rPr>
            </w:pPr>
          </w:p>
        </w:tc>
        <w:tc>
          <w:tcPr>
            <w:tcW w:w="694" w:type="dxa"/>
            <w:vAlign w:val="center"/>
          </w:tcPr>
          <w:p>
            <w:pPr>
              <w:pStyle w:val="14"/>
              <w:rPr>
                <w:rFonts w:hint="eastAsia" w:ascii="仿宋_GB2312" w:hAnsi="仿宋_GB2312" w:eastAsia="仿宋_GB2312" w:cs="仿宋_GB2312"/>
                <w:kern w:val="0"/>
                <w:sz w:val="21"/>
                <w:szCs w:val="24"/>
                <w:lang w:val="en-US" w:eastAsia="uk-UA" w:bidi="ar-SA"/>
              </w:rPr>
            </w:pPr>
          </w:p>
        </w:tc>
        <w:tc>
          <w:tcPr>
            <w:tcW w:w="1125" w:type="dxa"/>
            <w:vAlign w:val="center"/>
          </w:tcPr>
          <w:p>
            <w:pPr>
              <w:pStyle w:val="14"/>
              <w:rPr>
                <w:rFonts w:hint="eastAsia" w:ascii="仿宋_GB2312" w:hAnsi="仿宋_GB2312" w:eastAsia="仿宋_GB2312" w:cs="仿宋_GB2312"/>
                <w:kern w:val="0"/>
                <w:sz w:val="21"/>
                <w:szCs w:val="24"/>
                <w:lang w:val="en-US" w:eastAsia="uk-UA" w:bidi="ar-SA"/>
              </w:rPr>
            </w:pPr>
          </w:p>
        </w:tc>
        <w:tc>
          <w:tcPr>
            <w:tcW w:w="825" w:type="dxa"/>
            <w:vAlign w:val="center"/>
          </w:tcPr>
          <w:p>
            <w:pPr>
              <w:pStyle w:val="14"/>
              <w:rPr>
                <w:rFonts w:hint="eastAsia" w:ascii="仿宋_GB2312" w:hAnsi="仿宋_GB2312" w:eastAsia="仿宋_GB2312" w:cs="仿宋_GB2312"/>
                <w:kern w:val="0"/>
                <w:sz w:val="21"/>
                <w:szCs w:val="24"/>
                <w:lang w:val="en-US" w:eastAsia="uk-UA" w:bidi="ar-SA"/>
              </w:rPr>
            </w:pPr>
          </w:p>
        </w:tc>
        <w:tc>
          <w:tcPr>
            <w:tcW w:w="669" w:type="dxa"/>
            <w:vAlign w:val="center"/>
          </w:tcPr>
          <w:p>
            <w:pPr>
              <w:pStyle w:val="14"/>
              <w:rPr>
                <w:rFonts w:hint="eastAsia" w:ascii="仿宋_GB2312" w:hAnsi="仿宋_GB2312" w:eastAsia="仿宋_GB2312" w:cs="仿宋_GB2312"/>
                <w:kern w:val="0"/>
                <w:sz w:val="21"/>
                <w:szCs w:val="24"/>
                <w:lang w:val="en-US" w:eastAsia="uk-UA" w:bidi="ar-SA"/>
              </w:rPr>
            </w:pPr>
          </w:p>
        </w:tc>
        <w:tc>
          <w:tcPr>
            <w:tcW w:w="964" w:type="dxa"/>
            <w:vAlign w:val="center"/>
          </w:tcPr>
          <w:p>
            <w:pPr>
              <w:pStyle w:val="14"/>
              <w:rPr>
                <w:rFonts w:hint="eastAsia" w:ascii="仿宋_GB2312" w:hAnsi="仿宋_GB2312" w:eastAsia="仿宋_GB2312" w:cs="仿宋_GB2312"/>
                <w:kern w:val="0"/>
                <w:sz w:val="21"/>
                <w:szCs w:val="24"/>
                <w:lang w:val="en-US" w:eastAsia="uk-UA" w:bidi="ar-SA"/>
              </w:rPr>
            </w:pPr>
            <w:r>
              <w:rPr>
                <w:rFonts w:hint="eastAsia" w:ascii="仿宋_GB2312" w:hAnsi="仿宋_GB2312" w:eastAsia="仿宋_GB2312" w:cs="仿宋_GB2312"/>
              </w:rPr>
              <w:t>35.00</w:t>
            </w:r>
          </w:p>
        </w:tc>
        <w:tc>
          <w:tcPr>
            <w:tcW w:w="964" w:type="dxa"/>
            <w:vAlign w:val="center"/>
          </w:tcPr>
          <w:p>
            <w:pPr>
              <w:pStyle w:val="14"/>
              <w:rPr>
                <w:rFonts w:hint="eastAsia" w:ascii="仿宋_GB2312" w:hAnsi="仿宋_GB2312" w:eastAsia="仿宋_GB2312" w:cs="仿宋_GB2312"/>
                <w:kern w:val="0"/>
                <w:sz w:val="21"/>
                <w:szCs w:val="24"/>
                <w:lang w:val="en-US" w:eastAsia="uk-UA" w:bidi="ar-SA"/>
              </w:rPr>
            </w:pPr>
          </w:p>
        </w:tc>
        <w:tc>
          <w:tcPr>
            <w:tcW w:w="964" w:type="dxa"/>
            <w:vAlign w:val="center"/>
          </w:tcPr>
          <w:p>
            <w:pPr>
              <w:pStyle w:val="14"/>
              <w:rPr>
                <w:rFonts w:hint="eastAsia" w:ascii="仿宋_GB2312" w:hAnsi="仿宋_GB2312" w:eastAsia="仿宋_GB2312" w:cs="仿宋_GB2312"/>
                <w:kern w:val="0"/>
                <w:sz w:val="21"/>
                <w:szCs w:val="24"/>
                <w:lang w:val="en-US" w:eastAsia="uk-UA" w:bidi="ar-SA"/>
              </w:rPr>
            </w:pPr>
          </w:p>
        </w:tc>
      </w:tr>
    </w:tbl>
    <w:p>
      <w:pPr>
        <w:spacing w:line="500" w:lineRule="exact"/>
        <w:ind w:firstLine="420"/>
        <w:rPr>
          <w:rFonts w:ascii="方正仿宋_GBK" w:hAnsi="方正仿宋_GBK" w:eastAsia="方正仿宋_GBK" w:cs="方正仿宋_GBK"/>
          <w:color w:val="000000"/>
        </w:rPr>
      </w:pPr>
      <w:r>
        <w:rPr>
          <w:rFonts w:ascii="方正仿宋_GBK" w:hAnsi="方正仿宋_GBK" w:eastAsia="方正仿宋_GBK" w:cs="方正仿宋_GBK"/>
          <w:color w:val="000000"/>
        </w:rPr>
        <w:t>注：同一采购目录序号的物品，其单价会因配置规格不同而变动，均符合资产配置标准。涉密采购事项按照相关规定执行。</w:t>
      </w:r>
    </w:p>
    <w:p>
      <w:pPr>
        <w:spacing w:line="500" w:lineRule="exact"/>
        <w:ind w:firstLine="420"/>
        <w:rPr>
          <w:rFonts w:hint="eastAsia" w:ascii="方正仿宋_GBK" w:hAnsi="方正仿宋_GBK" w:eastAsia="方正仿宋_GBK" w:cs="方正仿宋_GBK"/>
          <w:color w:val="000000"/>
        </w:rPr>
      </w:pPr>
    </w:p>
    <w:p>
      <w:pPr>
        <w:spacing w:line="500" w:lineRule="exact"/>
        <w:ind w:firstLine="420"/>
        <w:rPr>
          <w:rFonts w:ascii="Times New Roman" w:hAnsi="Times New Roman" w:eastAsia="黑体" w:cs="Times New Roman"/>
          <w:sz w:val="32"/>
          <w:szCs w:val="32"/>
        </w:rPr>
      </w:pPr>
    </w:p>
    <w:p>
      <w:pPr>
        <w:spacing w:line="5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七、国有资产信息</w:t>
      </w:r>
    </w:p>
    <w:p>
      <w:pPr>
        <w:spacing w:line="584" w:lineRule="exact"/>
        <w:ind w:firstLine="640"/>
        <w:rPr>
          <w:rFonts w:ascii="Times New Roman" w:hAnsi="Times New Roman" w:eastAsia="仿宋_GB2312" w:cs="Times New Roman"/>
          <w:sz w:val="32"/>
          <w:szCs w:val="32"/>
        </w:rPr>
      </w:pPr>
      <w:r>
        <w:rPr>
          <w:rFonts w:hint="eastAsia" w:ascii="仿宋_GB2312" w:hAnsi="仿宋_GB2312" w:eastAsia="仿宋_GB2312" w:cs="仿宋_GB2312"/>
          <w:sz w:val="32"/>
          <w:szCs w:val="32"/>
        </w:rPr>
        <w:t>廊坊市</w:t>
      </w:r>
      <w:r>
        <w:rPr>
          <w:rFonts w:hint="eastAsia" w:ascii="仿宋_GB2312" w:hAnsi="仿宋_GB2312" w:eastAsia="仿宋_GB2312" w:cs="仿宋_GB2312"/>
          <w:sz w:val="32"/>
          <w:szCs w:val="32"/>
          <w:lang w:val="en-US" w:eastAsia="zh-CN"/>
        </w:rPr>
        <w:t>应急管理局</w:t>
      </w:r>
      <w:r>
        <w:rPr>
          <w:rFonts w:hint="eastAsia" w:ascii="仿宋_GB2312" w:hAnsi="仿宋_GB2312" w:eastAsia="仿宋_GB2312" w:cs="仿宋_GB2312"/>
          <w:sz w:val="32"/>
          <w:szCs w:val="32"/>
        </w:rPr>
        <w:t>上年末固定资产金额为</w:t>
      </w:r>
      <w:r>
        <w:rPr>
          <w:rFonts w:hint="eastAsia" w:ascii="仿宋_GB2312" w:hAnsi="仿宋_GB2312" w:eastAsia="仿宋_GB2312" w:cs="仿宋_GB2312"/>
          <w:sz w:val="32"/>
          <w:szCs w:val="32"/>
          <w:lang w:val="en-US" w:eastAsia="zh-CN"/>
        </w:rPr>
        <w:t>1654.98</w:t>
      </w:r>
      <w:r>
        <w:rPr>
          <w:rFonts w:hint="eastAsia" w:ascii="仿宋_GB2312" w:hAnsi="仿宋_GB2312" w:eastAsia="仿宋_GB2312" w:cs="仿宋_GB2312"/>
          <w:sz w:val="32"/>
          <w:szCs w:val="32"/>
        </w:rPr>
        <w:t>万元（详见下表），本年度我</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拟购置固定资产总额为</w:t>
      </w:r>
      <w:r>
        <w:rPr>
          <w:rFonts w:hint="eastAsia" w:ascii="仿宋_GB2312" w:hAnsi="仿宋_GB2312" w:eastAsia="仿宋_GB2312" w:cs="仿宋_GB2312"/>
          <w:sz w:val="32"/>
          <w:szCs w:val="32"/>
          <w:lang w:val="en-US" w:eastAsia="zh-CN"/>
        </w:rPr>
        <w:t>541</w:t>
      </w:r>
      <w:r>
        <w:rPr>
          <w:rFonts w:hint="eastAsia" w:ascii="仿宋_GB2312" w:hAnsi="仿宋_GB2312" w:eastAsia="仿宋_GB2312" w:cs="仿宋_GB2312"/>
          <w:sz w:val="32"/>
          <w:szCs w:val="32"/>
        </w:rPr>
        <w:t>.62万元，主要为自然灾害救灾</w:t>
      </w:r>
      <w:r>
        <w:rPr>
          <w:rFonts w:hint="eastAsia" w:ascii="仿宋_GB2312" w:hAnsi="仿宋_GB2312" w:eastAsia="仿宋_GB2312" w:cs="仿宋_GB2312"/>
          <w:sz w:val="32"/>
          <w:szCs w:val="32"/>
          <w:lang w:val="en-US" w:eastAsia="zh-CN"/>
        </w:rPr>
        <w:t>设备、</w:t>
      </w:r>
      <w:r>
        <w:rPr>
          <w:rFonts w:hint="eastAsia" w:ascii="仿宋_GB2312" w:hAnsi="仿宋_GB2312" w:eastAsia="仿宋_GB2312" w:cs="仿宋_GB2312"/>
          <w:sz w:val="32"/>
          <w:szCs w:val="32"/>
        </w:rPr>
        <w:t>视频会议室终端等，已列入政府采购预算，详见政府采购预算表。</w:t>
      </w:r>
    </w:p>
    <w:p>
      <w:pPr>
        <w:spacing w:line="584" w:lineRule="exact"/>
        <w:ind w:firstLine="640"/>
        <w:rPr>
          <w:rFonts w:ascii="Times New Roman" w:hAnsi="Times New Roman" w:eastAsia="仿宋_GB2312" w:cs="Times New Roman"/>
          <w:sz w:val="32"/>
          <w:szCs w:val="32"/>
        </w:rPr>
      </w:pPr>
    </w:p>
    <w:tbl>
      <w:tblPr>
        <w:tblStyle w:val="9"/>
        <w:tblW w:w="13325" w:type="dxa"/>
        <w:tblInd w:w="93" w:type="dxa"/>
        <w:tblLayout w:type="autofit"/>
        <w:tblCellMar>
          <w:top w:w="0" w:type="dxa"/>
          <w:left w:w="108" w:type="dxa"/>
          <w:bottom w:w="0" w:type="dxa"/>
          <w:right w:w="108" w:type="dxa"/>
        </w:tblCellMar>
      </w:tblPr>
      <w:tblGrid>
        <w:gridCol w:w="5224"/>
        <w:gridCol w:w="3155"/>
        <w:gridCol w:w="5103"/>
      </w:tblGrid>
      <w:tr>
        <w:tblPrEx>
          <w:tblCellMar>
            <w:top w:w="0" w:type="dxa"/>
            <w:left w:w="108" w:type="dxa"/>
            <w:bottom w:w="0" w:type="dxa"/>
            <w:right w:w="108" w:type="dxa"/>
          </w:tblCellMar>
        </w:tblPrEx>
        <w:trPr>
          <w:trHeight w:val="705" w:hRule="atLeast"/>
        </w:trPr>
        <w:tc>
          <w:tcPr>
            <w:tcW w:w="13482" w:type="dxa"/>
            <w:gridSpan w:val="3"/>
            <w:tcBorders>
              <w:top w:val="nil"/>
              <w:left w:val="nil"/>
              <w:bottom w:val="nil"/>
              <w:right w:val="nil"/>
            </w:tcBorders>
            <w:shd w:val="clear" w:color="auto" w:fill="auto"/>
            <w:noWrap/>
            <w:vAlign w:val="center"/>
          </w:tcPr>
          <w:p>
            <w:pPr>
              <w:widowControl/>
              <w:spacing w:line="584" w:lineRule="exact"/>
              <w:jc w:val="center"/>
              <w:rPr>
                <w:rFonts w:ascii="Times New Roman" w:hAnsi="Times New Roman" w:eastAsia="仿宋_GB2312" w:cs="Times New Roman"/>
                <w:b/>
                <w:bCs/>
                <w:kern w:val="0"/>
                <w:sz w:val="32"/>
                <w:szCs w:val="32"/>
              </w:rPr>
            </w:pPr>
            <w:r>
              <w:rPr>
                <w:rFonts w:ascii="Times New Roman" w:hAnsi="Times New Roman" w:eastAsia="仿宋_GB2312" w:cs="Times New Roman"/>
                <w:b/>
                <w:bCs/>
                <w:kern w:val="0"/>
                <w:sz w:val="32"/>
                <w:szCs w:val="32"/>
              </w:rPr>
              <w:t>廊坊市市直</w:t>
            </w:r>
            <w:r>
              <w:rPr>
                <w:rFonts w:hint="eastAsia" w:ascii="Times New Roman" w:hAnsi="Times New Roman" w:eastAsia="仿宋_GB2312" w:cs="Times New Roman"/>
                <w:b/>
                <w:bCs/>
                <w:kern w:val="0"/>
                <w:sz w:val="32"/>
                <w:szCs w:val="32"/>
                <w:lang w:eastAsia="zh-CN"/>
              </w:rPr>
              <w:t>单位</w:t>
            </w:r>
            <w:r>
              <w:rPr>
                <w:rFonts w:ascii="Times New Roman" w:hAnsi="Times New Roman" w:eastAsia="仿宋_GB2312" w:cs="Times New Roman"/>
                <w:b/>
                <w:bCs/>
                <w:kern w:val="0"/>
                <w:sz w:val="32"/>
                <w:szCs w:val="32"/>
              </w:rPr>
              <w:t>固定资产占用情况表</w:t>
            </w:r>
          </w:p>
        </w:tc>
      </w:tr>
      <w:tr>
        <w:tblPrEx>
          <w:tblCellMar>
            <w:top w:w="0" w:type="dxa"/>
            <w:left w:w="108" w:type="dxa"/>
            <w:bottom w:w="0" w:type="dxa"/>
            <w:right w:w="108" w:type="dxa"/>
          </w:tblCellMar>
        </w:tblPrEx>
        <w:trPr>
          <w:trHeight w:val="510" w:hRule="atLeast"/>
        </w:trPr>
        <w:tc>
          <w:tcPr>
            <w:tcW w:w="8379" w:type="dxa"/>
            <w:gridSpan w:val="2"/>
            <w:tcBorders>
              <w:top w:val="nil"/>
              <w:left w:val="nil"/>
              <w:bottom w:val="nil"/>
              <w:right w:val="nil"/>
            </w:tcBorders>
            <w:shd w:val="clear" w:color="auto" w:fill="auto"/>
            <w:noWrap/>
            <w:vAlign w:val="center"/>
          </w:tcPr>
          <w:p>
            <w:pPr>
              <w:widowControl/>
              <w:spacing w:line="584" w:lineRule="exact"/>
              <w:jc w:val="left"/>
              <w:rPr>
                <w:rFonts w:hint="eastAsia" w:ascii="Times New Roman" w:hAnsi="Times New Roman" w:eastAsia="仿宋_GB2312" w:cs="Times New Roman"/>
                <w:kern w:val="0"/>
                <w:sz w:val="22"/>
                <w:lang w:eastAsia="zh-CN"/>
              </w:rPr>
            </w:pPr>
            <w:r>
              <w:rPr>
                <w:rFonts w:ascii="Times New Roman" w:hAnsi="Times New Roman" w:eastAsia="仿宋_GB2312" w:cs="Times New Roman"/>
                <w:kern w:val="0"/>
                <w:sz w:val="22"/>
              </w:rPr>
              <w:t>编制</w:t>
            </w:r>
            <w:r>
              <w:rPr>
                <w:rFonts w:hint="eastAsia" w:ascii="Times New Roman" w:hAnsi="Times New Roman" w:eastAsia="仿宋_GB2312" w:cs="Times New Roman"/>
                <w:kern w:val="0"/>
                <w:sz w:val="22"/>
                <w:lang w:eastAsia="zh-CN"/>
              </w:rPr>
              <w:t>单位</w:t>
            </w:r>
            <w:r>
              <w:rPr>
                <w:rFonts w:ascii="Times New Roman" w:hAnsi="Times New Roman" w:eastAsia="仿宋_GB2312" w:cs="Times New Roman"/>
                <w:kern w:val="0"/>
                <w:sz w:val="22"/>
              </w:rPr>
              <w:t>：廊坊市</w:t>
            </w:r>
            <w:r>
              <w:rPr>
                <w:rFonts w:hint="eastAsia" w:ascii="Times New Roman" w:hAnsi="Times New Roman" w:eastAsia="仿宋_GB2312" w:cs="Times New Roman"/>
                <w:kern w:val="0"/>
                <w:sz w:val="22"/>
                <w:lang w:val="en-US" w:eastAsia="zh-CN"/>
              </w:rPr>
              <w:t>应急管理局</w:t>
            </w:r>
          </w:p>
        </w:tc>
        <w:tc>
          <w:tcPr>
            <w:tcW w:w="5103" w:type="dxa"/>
            <w:tcBorders>
              <w:top w:val="nil"/>
              <w:left w:val="nil"/>
              <w:bottom w:val="nil"/>
              <w:right w:val="nil"/>
            </w:tcBorders>
            <w:shd w:val="clear" w:color="auto" w:fill="auto"/>
            <w:noWrap/>
            <w:vAlign w:val="center"/>
          </w:tcPr>
          <w:p>
            <w:pPr>
              <w:widowControl/>
              <w:spacing w:line="584"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截止时间：20</w:t>
            </w:r>
            <w:r>
              <w:rPr>
                <w:rFonts w:hint="eastAsia" w:ascii="Times New Roman" w:hAnsi="Times New Roman" w:eastAsia="仿宋_GB2312" w:cs="Times New Roman"/>
                <w:kern w:val="0"/>
                <w:sz w:val="22"/>
              </w:rPr>
              <w:t>2</w:t>
            </w:r>
            <w:r>
              <w:rPr>
                <w:rFonts w:ascii="Times New Roman" w:hAnsi="Times New Roman" w:eastAsia="仿宋_GB2312" w:cs="Times New Roman"/>
                <w:kern w:val="0"/>
                <w:sz w:val="22"/>
              </w:rPr>
              <w:t xml:space="preserve">1年12月31日  </w:t>
            </w:r>
          </w:p>
        </w:tc>
      </w:tr>
      <w:tr>
        <w:tblPrEx>
          <w:tblCellMar>
            <w:top w:w="0" w:type="dxa"/>
            <w:left w:w="108" w:type="dxa"/>
            <w:bottom w:w="0" w:type="dxa"/>
            <w:right w:w="108" w:type="dxa"/>
          </w:tblCellMar>
        </w:tblPrEx>
        <w:trPr>
          <w:trHeight w:val="567" w:hRule="exact"/>
        </w:trPr>
        <w:tc>
          <w:tcPr>
            <w:tcW w:w="522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584" w:lineRule="exact"/>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项   目</w:t>
            </w:r>
          </w:p>
        </w:tc>
        <w:tc>
          <w:tcPr>
            <w:tcW w:w="3155" w:type="dxa"/>
            <w:tcBorders>
              <w:top w:val="single" w:color="auto" w:sz="4" w:space="0"/>
              <w:left w:val="nil"/>
              <w:bottom w:val="single" w:color="auto" w:sz="4" w:space="0"/>
              <w:right w:val="single" w:color="auto" w:sz="4" w:space="0"/>
            </w:tcBorders>
            <w:shd w:val="clear" w:color="auto" w:fill="auto"/>
            <w:noWrap/>
            <w:vAlign w:val="center"/>
          </w:tcPr>
          <w:p>
            <w:pPr>
              <w:widowControl/>
              <w:spacing w:line="584" w:lineRule="exact"/>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数量</w:t>
            </w:r>
          </w:p>
        </w:tc>
        <w:tc>
          <w:tcPr>
            <w:tcW w:w="5103" w:type="dxa"/>
            <w:tcBorders>
              <w:top w:val="single" w:color="auto" w:sz="4" w:space="0"/>
              <w:left w:val="nil"/>
              <w:bottom w:val="single" w:color="auto" w:sz="4" w:space="0"/>
              <w:right w:val="single" w:color="auto" w:sz="4" w:space="0"/>
            </w:tcBorders>
            <w:shd w:val="clear" w:color="auto" w:fill="auto"/>
            <w:noWrap/>
            <w:vAlign w:val="center"/>
          </w:tcPr>
          <w:p>
            <w:pPr>
              <w:widowControl/>
              <w:spacing w:line="584" w:lineRule="exact"/>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价值（金额单位：万元）</w:t>
            </w:r>
          </w:p>
        </w:tc>
      </w:tr>
      <w:tr>
        <w:tblPrEx>
          <w:tblCellMar>
            <w:top w:w="0" w:type="dxa"/>
            <w:left w:w="108" w:type="dxa"/>
            <w:bottom w:w="0" w:type="dxa"/>
            <w:right w:w="108" w:type="dxa"/>
          </w:tblCellMar>
        </w:tblPrEx>
        <w:trPr>
          <w:trHeight w:val="567" w:hRule="exact"/>
        </w:trPr>
        <w:tc>
          <w:tcPr>
            <w:tcW w:w="5224" w:type="dxa"/>
            <w:tcBorders>
              <w:top w:val="nil"/>
              <w:left w:val="single" w:color="auto" w:sz="4" w:space="0"/>
              <w:bottom w:val="single" w:color="auto" w:sz="4" w:space="0"/>
              <w:right w:val="single" w:color="auto" w:sz="4" w:space="0"/>
            </w:tcBorders>
            <w:shd w:val="clear" w:color="auto" w:fill="auto"/>
            <w:noWrap/>
            <w:vAlign w:val="center"/>
          </w:tcPr>
          <w:p>
            <w:pPr>
              <w:widowControl/>
              <w:spacing w:line="584"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资产总额</w:t>
            </w:r>
          </w:p>
        </w:tc>
        <w:tc>
          <w:tcPr>
            <w:tcW w:w="3155" w:type="dxa"/>
            <w:tcBorders>
              <w:top w:val="nil"/>
              <w:left w:val="nil"/>
              <w:bottom w:val="single" w:color="auto" w:sz="4" w:space="0"/>
              <w:right w:val="single" w:color="auto" w:sz="4" w:space="0"/>
            </w:tcBorders>
            <w:shd w:val="clear" w:color="auto" w:fill="auto"/>
            <w:noWrap/>
            <w:vAlign w:val="center"/>
          </w:tcPr>
          <w:p>
            <w:pPr>
              <w:spacing w:line="584" w:lineRule="exact"/>
              <w:jc w:val="center"/>
              <w:rPr>
                <w:rFonts w:ascii="Times New Roman" w:hAnsi="Times New Roman" w:eastAsia="仿宋_GB2312" w:cs="Times New Roman"/>
                <w:sz w:val="22"/>
              </w:rPr>
            </w:pPr>
            <w:r>
              <w:rPr>
                <w:rFonts w:ascii="Times New Roman" w:hAnsi="Times New Roman" w:eastAsia="仿宋_GB2312" w:cs="Times New Roman"/>
                <w:sz w:val="22"/>
              </w:rPr>
              <w:t>——</w:t>
            </w:r>
          </w:p>
        </w:tc>
        <w:tc>
          <w:tcPr>
            <w:tcW w:w="5103" w:type="dxa"/>
            <w:tcBorders>
              <w:top w:val="nil"/>
              <w:left w:val="nil"/>
              <w:bottom w:val="single" w:color="auto" w:sz="4" w:space="0"/>
              <w:right w:val="single" w:color="auto" w:sz="4" w:space="0"/>
            </w:tcBorders>
            <w:shd w:val="clear" w:color="auto" w:fill="auto"/>
            <w:noWrap/>
            <w:vAlign w:val="center"/>
          </w:tcPr>
          <w:p>
            <w:pPr>
              <w:spacing w:line="584" w:lineRule="exact"/>
              <w:jc w:val="center"/>
              <w:rPr>
                <w:rFonts w:hint="default" w:ascii="Times New Roman" w:hAnsi="Times New Roman" w:eastAsia="仿宋_GB2312" w:cs="Times New Roman"/>
                <w:sz w:val="22"/>
                <w:lang w:val="en-US" w:eastAsia="zh-CN"/>
              </w:rPr>
            </w:pPr>
            <w:r>
              <w:rPr>
                <w:rFonts w:hint="eastAsia" w:ascii="Times New Roman" w:hAnsi="Times New Roman" w:eastAsia="仿宋_GB2312" w:cs="Times New Roman"/>
                <w:sz w:val="22"/>
                <w:lang w:val="en-US" w:eastAsia="zh-CN"/>
              </w:rPr>
              <w:t>1654.98</w:t>
            </w:r>
          </w:p>
        </w:tc>
      </w:tr>
      <w:tr>
        <w:tblPrEx>
          <w:tblCellMar>
            <w:top w:w="0" w:type="dxa"/>
            <w:left w:w="108" w:type="dxa"/>
            <w:bottom w:w="0" w:type="dxa"/>
            <w:right w:w="108" w:type="dxa"/>
          </w:tblCellMar>
        </w:tblPrEx>
        <w:trPr>
          <w:trHeight w:val="567" w:hRule="exact"/>
        </w:trPr>
        <w:tc>
          <w:tcPr>
            <w:tcW w:w="5224" w:type="dxa"/>
            <w:tcBorders>
              <w:top w:val="nil"/>
              <w:left w:val="single" w:color="auto" w:sz="4" w:space="0"/>
              <w:bottom w:val="single" w:color="auto" w:sz="4" w:space="0"/>
              <w:right w:val="single" w:color="auto" w:sz="4" w:space="0"/>
            </w:tcBorders>
            <w:shd w:val="clear" w:color="auto" w:fill="auto"/>
            <w:noWrap/>
            <w:vAlign w:val="center"/>
          </w:tcPr>
          <w:p>
            <w:pPr>
              <w:widowControl/>
              <w:spacing w:line="584"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1、房屋（平方米）</w:t>
            </w:r>
          </w:p>
        </w:tc>
        <w:tc>
          <w:tcPr>
            <w:tcW w:w="3155" w:type="dxa"/>
            <w:tcBorders>
              <w:top w:val="nil"/>
              <w:left w:val="nil"/>
              <w:bottom w:val="single" w:color="auto" w:sz="4" w:space="0"/>
              <w:right w:val="single" w:color="auto" w:sz="4" w:space="0"/>
            </w:tcBorders>
            <w:shd w:val="clear" w:color="auto" w:fill="auto"/>
            <w:noWrap/>
            <w:vAlign w:val="center"/>
          </w:tcPr>
          <w:p>
            <w:pPr>
              <w:spacing w:line="584" w:lineRule="exact"/>
              <w:jc w:val="center"/>
              <w:rPr>
                <w:rFonts w:ascii="Times New Roman" w:hAnsi="Times New Roman" w:eastAsia="仿宋_GB2312" w:cs="Times New Roman"/>
                <w:sz w:val="22"/>
              </w:rPr>
            </w:pPr>
          </w:p>
        </w:tc>
        <w:tc>
          <w:tcPr>
            <w:tcW w:w="5103" w:type="dxa"/>
            <w:tcBorders>
              <w:top w:val="nil"/>
              <w:left w:val="nil"/>
              <w:bottom w:val="single" w:color="auto" w:sz="4" w:space="0"/>
              <w:right w:val="single" w:color="auto" w:sz="4" w:space="0"/>
            </w:tcBorders>
            <w:shd w:val="clear" w:color="auto" w:fill="auto"/>
            <w:noWrap/>
            <w:vAlign w:val="center"/>
          </w:tcPr>
          <w:p>
            <w:pPr>
              <w:spacing w:line="584" w:lineRule="exact"/>
              <w:jc w:val="center"/>
              <w:rPr>
                <w:rFonts w:hint="default" w:ascii="Times New Roman" w:hAnsi="Times New Roman" w:eastAsia="仿宋_GB2312" w:cs="Times New Roman"/>
                <w:sz w:val="22"/>
                <w:lang w:val="en-US" w:eastAsia="zh-CN"/>
              </w:rPr>
            </w:pPr>
          </w:p>
        </w:tc>
      </w:tr>
      <w:tr>
        <w:tblPrEx>
          <w:tblCellMar>
            <w:top w:w="0" w:type="dxa"/>
            <w:left w:w="108" w:type="dxa"/>
            <w:bottom w:w="0" w:type="dxa"/>
            <w:right w:w="108" w:type="dxa"/>
          </w:tblCellMar>
        </w:tblPrEx>
        <w:trPr>
          <w:trHeight w:val="567" w:hRule="exact"/>
        </w:trPr>
        <w:tc>
          <w:tcPr>
            <w:tcW w:w="5224" w:type="dxa"/>
            <w:tcBorders>
              <w:top w:val="nil"/>
              <w:left w:val="single" w:color="auto" w:sz="4" w:space="0"/>
              <w:bottom w:val="single" w:color="auto" w:sz="4" w:space="0"/>
              <w:right w:val="single" w:color="auto" w:sz="4" w:space="0"/>
            </w:tcBorders>
            <w:shd w:val="clear" w:color="auto" w:fill="auto"/>
            <w:noWrap/>
            <w:vAlign w:val="center"/>
          </w:tcPr>
          <w:p>
            <w:pPr>
              <w:widowControl/>
              <w:spacing w:line="584"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其中：办公用房（平方米）</w:t>
            </w:r>
          </w:p>
        </w:tc>
        <w:tc>
          <w:tcPr>
            <w:tcW w:w="3155" w:type="dxa"/>
            <w:tcBorders>
              <w:top w:val="nil"/>
              <w:left w:val="nil"/>
              <w:bottom w:val="single" w:color="auto" w:sz="4" w:space="0"/>
              <w:right w:val="single" w:color="auto" w:sz="4" w:space="0"/>
            </w:tcBorders>
            <w:shd w:val="clear" w:color="auto" w:fill="auto"/>
            <w:noWrap/>
            <w:vAlign w:val="center"/>
          </w:tcPr>
          <w:p>
            <w:pPr>
              <w:spacing w:line="584" w:lineRule="exact"/>
              <w:jc w:val="center"/>
              <w:rPr>
                <w:rFonts w:ascii="Times New Roman" w:hAnsi="Times New Roman" w:eastAsia="仿宋_GB2312" w:cs="Times New Roman"/>
                <w:sz w:val="22"/>
              </w:rPr>
            </w:pPr>
          </w:p>
        </w:tc>
        <w:tc>
          <w:tcPr>
            <w:tcW w:w="5103" w:type="dxa"/>
            <w:tcBorders>
              <w:top w:val="nil"/>
              <w:left w:val="nil"/>
              <w:bottom w:val="single" w:color="auto" w:sz="4" w:space="0"/>
              <w:right w:val="single" w:color="auto" w:sz="4" w:space="0"/>
            </w:tcBorders>
            <w:shd w:val="clear" w:color="auto" w:fill="auto"/>
            <w:noWrap/>
            <w:vAlign w:val="center"/>
          </w:tcPr>
          <w:p>
            <w:pPr>
              <w:spacing w:line="584" w:lineRule="exact"/>
              <w:jc w:val="center"/>
              <w:rPr>
                <w:rFonts w:hint="default" w:ascii="Times New Roman" w:hAnsi="Times New Roman" w:eastAsia="仿宋_GB2312" w:cs="Times New Roman"/>
                <w:sz w:val="22"/>
                <w:lang w:val="en-US" w:eastAsia="zh-CN"/>
              </w:rPr>
            </w:pPr>
          </w:p>
        </w:tc>
      </w:tr>
      <w:tr>
        <w:tblPrEx>
          <w:tblCellMar>
            <w:top w:w="0" w:type="dxa"/>
            <w:left w:w="108" w:type="dxa"/>
            <w:bottom w:w="0" w:type="dxa"/>
            <w:right w:w="108" w:type="dxa"/>
          </w:tblCellMar>
        </w:tblPrEx>
        <w:trPr>
          <w:trHeight w:val="567" w:hRule="exact"/>
        </w:trPr>
        <w:tc>
          <w:tcPr>
            <w:tcW w:w="5224" w:type="dxa"/>
            <w:tcBorders>
              <w:top w:val="nil"/>
              <w:left w:val="single" w:color="auto" w:sz="4" w:space="0"/>
              <w:bottom w:val="single" w:color="auto" w:sz="4" w:space="0"/>
              <w:right w:val="single" w:color="auto" w:sz="4" w:space="0"/>
            </w:tcBorders>
            <w:shd w:val="clear" w:color="auto" w:fill="auto"/>
            <w:noWrap/>
            <w:vAlign w:val="center"/>
          </w:tcPr>
          <w:p>
            <w:pPr>
              <w:widowControl/>
              <w:spacing w:line="584"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2、车辆（台、辆）</w:t>
            </w:r>
          </w:p>
        </w:tc>
        <w:tc>
          <w:tcPr>
            <w:tcW w:w="3155" w:type="dxa"/>
            <w:tcBorders>
              <w:top w:val="nil"/>
              <w:left w:val="nil"/>
              <w:bottom w:val="single" w:color="auto" w:sz="4" w:space="0"/>
              <w:right w:val="single" w:color="auto" w:sz="4" w:space="0"/>
            </w:tcBorders>
            <w:shd w:val="clear" w:color="auto" w:fill="auto"/>
            <w:noWrap/>
            <w:vAlign w:val="center"/>
          </w:tcPr>
          <w:p>
            <w:pPr>
              <w:spacing w:line="584" w:lineRule="exact"/>
              <w:jc w:val="center"/>
              <w:rPr>
                <w:rFonts w:hint="default" w:ascii="Times New Roman" w:hAnsi="Times New Roman" w:eastAsia="仿宋_GB2312" w:cs="Times New Roman"/>
                <w:sz w:val="22"/>
                <w:lang w:val="en-US" w:eastAsia="zh-CN"/>
              </w:rPr>
            </w:pPr>
            <w:r>
              <w:rPr>
                <w:rFonts w:hint="eastAsia" w:ascii="Times New Roman" w:hAnsi="Times New Roman" w:eastAsia="仿宋_GB2312" w:cs="Times New Roman"/>
                <w:sz w:val="22"/>
                <w:lang w:val="en-US" w:eastAsia="zh-CN"/>
              </w:rPr>
              <w:t>14</w:t>
            </w:r>
          </w:p>
        </w:tc>
        <w:tc>
          <w:tcPr>
            <w:tcW w:w="5103" w:type="dxa"/>
            <w:tcBorders>
              <w:top w:val="nil"/>
              <w:left w:val="nil"/>
              <w:bottom w:val="single" w:color="auto" w:sz="4" w:space="0"/>
              <w:right w:val="single" w:color="auto" w:sz="4" w:space="0"/>
            </w:tcBorders>
            <w:shd w:val="clear" w:color="auto" w:fill="auto"/>
            <w:noWrap/>
            <w:vAlign w:val="center"/>
          </w:tcPr>
          <w:p>
            <w:pPr>
              <w:spacing w:line="584" w:lineRule="exact"/>
              <w:jc w:val="center"/>
              <w:rPr>
                <w:rFonts w:hint="default" w:ascii="Times New Roman" w:hAnsi="Times New Roman" w:eastAsia="仿宋_GB2312" w:cs="Times New Roman"/>
                <w:sz w:val="22"/>
                <w:lang w:val="en-US" w:eastAsia="zh-CN"/>
              </w:rPr>
            </w:pPr>
            <w:r>
              <w:rPr>
                <w:rFonts w:hint="eastAsia" w:ascii="Times New Roman" w:hAnsi="Times New Roman" w:eastAsia="仿宋_GB2312" w:cs="Times New Roman"/>
                <w:sz w:val="22"/>
                <w:lang w:val="en-US" w:eastAsia="zh-CN"/>
              </w:rPr>
              <w:t>296.34</w:t>
            </w:r>
          </w:p>
        </w:tc>
      </w:tr>
      <w:tr>
        <w:tblPrEx>
          <w:tblCellMar>
            <w:top w:w="0" w:type="dxa"/>
            <w:left w:w="108" w:type="dxa"/>
            <w:bottom w:w="0" w:type="dxa"/>
            <w:right w:w="108" w:type="dxa"/>
          </w:tblCellMar>
        </w:tblPrEx>
        <w:trPr>
          <w:trHeight w:val="567" w:hRule="exact"/>
        </w:trPr>
        <w:tc>
          <w:tcPr>
            <w:tcW w:w="5224" w:type="dxa"/>
            <w:tcBorders>
              <w:top w:val="nil"/>
              <w:left w:val="single" w:color="auto" w:sz="4" w:space="0"/>
              <w:bottom w:val="single" w:color="auto" w:sz="4" w:space="0"/>
              <w:right w:val="single" w:color="auto" w:sz="4" w:space="0"/>
            </w:tcBorders>
            <w:shd w:val="clear" w:color="auto" w:fill="auto"/>
            <w:vAlign w:val="center"/>
          </w:tcPr>
          <w:p>
            <w:pPr>
              <w:widowControl/>
              <w:spacing w:line="584"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3、单价在20万元以上的设备</w:t>
            </w:r>
          </w:p>
        </w:tc>
        <w:tc>
          <w:tcPr>
            <w:tcW w:w="3155" w:type="dxa"/>
            <w:tcBorders>
              <w:top w:val="nil"/>
              <w:left w:val="nil"/>
              <w:bottom w:val="single" w:color="auto" w:sz="4" w:space="0"/>
              <w:right w:val="single" w:color="auto" w:sz="4" w:space="0"/>
            </w:tcBorders>
            <w:shd w:val="clear" w:color="auto" w:fill="auto"/>
            <w:noWrap/>
            <w:vAlign w:val="center"/>
          </w:tcPr>
          <w:p>
            <w:pPr>
              <w:spacing w:line="584" w:lineRule="exact"/>
              <w:jc w:val="center"/>
              <w:rPr>
                <w:rFonts w:ascii="Times New Roman" w:hAnsi="Times New Roman" w:eastAsia="仿宋_GB2312" w:cs="Times New Roman"/>
                <w:sz w:val="22"/>
              </w:rPr>
            </w:pPr>
          </w:p>
        </w:tc>
        <w:tc>
          <w:tcPr>
            <w:tcW w:w="5103" w:type="dxa"/>
            <w:tcBorders>
              <w:top w:val="nil"/>
              <w:left w:val="nil"/>
              <w:bottom w:val="single" w:color="auto" w:sz="4" w:space="0"/>
              <w:right w:val="single" w:color="auto" w:sz="4" w:space="0"/>
            </w:tcBorders>
            <w:shd w:val="clear" w:color="auto" w:fill="auto"/>
            <w:noWrap/>
            <w:vAlign w:val="center"/>
          </w:tcPr>
          <w:p>
            <w:pPr>
              <w:spacing w:line="584" w:lineRule="exact"/>
              <w:jc w:val="center"/>
              <w:rPr>
                <w:rFonts w:ascii="Times New Roman" w:hAnsi="Times New Roman" w:eastAsia="仿宋_GB2312" w:cs="Times New Roman"/>
                <w:sz w:val="22"/>
              </w:rPr>
            </w:pPr>
          </w:p>
        </w:tc>
      </w:tr>
      <w:tr>
        <w:tblPrEx>
          <w:tblCellMar>
            <w:top w:w="0" w:type="dxa"/>
            <w:left w:w="108" w:type="dxa"/>
            <w:bottom w:w="0" w:type="dxa"/>
            <w:right w:w="108" w:type="dxa"/>
          </w:tblCellMar>
        </w:tblPrEx>
        <w:trPr>
          <w:trHeight w:val="567" w:hRule="exact"/>
        </w:trPr>
        <w:tc>
          <w:tcPr>
            <w:tcW w:w="5224" w:type="dxa"/>
            <w:tcBorders>
              <w:top w:val="nil"/>
              <w:left w:val="single" w:color="auto" w:sz="4" w:space="0"/>
              <w:bottom w:val="single" w:color="auto" w:sz="4" w:space="0"/>
              <w:right w:val="single" w:color="auto" w:sz="4" w:space="0"/>
            </w:tcBorders>
            <w:shd w:val="clear" w:color="auto" w:fill="auto"/>
            <w:noWrap/>
            <w:vAlign w:val="center"/>
          </w:tcPr>
          <w:p>
            <w:pPr>
              <w:widowControl/>
              <w:spacing w:line="584"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4、其他固定资产</w:t>
            </w:r>
          </w:p>
        </w:tc>
        <w:tc>
          <w:tcPr>
            <w:tcW w:w="3155" w:type="dxa"/>
            <w:tcBorders>
              <w:top w:val="nil"/>
              <w:left w:val="nil"/>
              <w:bottom w:val="single" w:color="auto" w:sz="4" w:space="0"/>
              <w:right w:val="single" w:color="auto" w:sz="4" w:space="0"/>
            </w:tcBorders>
            <w:shd w:val="clear" w:color="auto" w:fill="auto"/>
            <w:noWrap/>
            <w:vAlign w:val="center"/>
          </w:tcPr>
          <w:p>
            <w:pPr>
              <w:spacing w:line="584" w:lineRule="exact"/>
              <w:jc w:val="center"/>
              <w:rPr>
                <w:rFonts w:hint="default" w:ascii="Times New Roman" w:hAnsi="Times New Roman" w:eastAsia="仿宋_GB2312" w:cs="Times New Roman"/>
                <w:sz w:val="22"/>
                <w:lang w:val="en-US" w:eastAsia="zh-CN"/>
              </w:rPr>
            </w:pPr>
            <w:r>
              <w:rPr>
                <w:rFonts w:hint="eastAsia" w:ascii="Times New Roman" w:hAnsi="Times New Roman" w:eastAsia="仿宋_GB2312" w:cs="Times New Roman"/>
                <w:sz w:val="22"/>
                <w:lang w:val="en-US" w:eastAsia="zh-CN"/>
              </w:rPr>
              <w:t>1809</w:t>
            </w:r>
          </w:p>
        </w:tc>
        <w:tc>
          <w:tcPr>
            <w:tcW w:w="5103" w:type="dxa"/>
            <w:tcBorders>
              <w:top w:val="nil"/>
              <w:left w:val="nil"/>
              <w:bottom w:val="single" w:color="auto" w:sz="4" w:space="0"/>
              <w:right w:val="single" w:color="auto" w:sz="4" w:space="0"/>
            </w:tcBorders>
            <w:shd w:val="clear" w:color="auto" w:fill="auto"/>
            <w:noWrap/>
            <w:vAlign w:val="center"/>
          </w:tcPr>
          <w:p>
            <w:pPr>
              <w:spacing w:line="584" w:lineRule="exact"/>
              <w:jc w:val="center"/>
              <w:rPr>
                <w:rFonts w:hint="default" w:ascii="Times New Roman" w:hAnsi="Times New Roman" w:eastAsia="仿宋_GB2312" w:cs="Times New Roman"/>
                <w:sz w:val="22"/>
                <w:lang w:val="en-US" w:eastAsia="zh-CN"/>
              </w:rPr>
            </w:pPr>
            <w:r>
              <w:rPr>
                <w:rFonts w:hint="eastAsia" w:ascii="Times New Roman" w:hAnsi="Times New Roman" w:eastAsia="仿宋_GB2312" w:cs="Times New Roman"/>
                <w:sz w:val="22"/>
                <w:lang w:val="en-US" w:eastAsia="zh-CN"/>
              </w:rPr>
              <w:t>1358.64</w:t>
            </w:r>
          </w:p>
        </w:tc>
      </w:tr>
    </w:tbl>
    <w:p>
      <w:pPr>
        <w:autoSpaceDE w:val="0"/>
        <w:autoSpaceDN w:val="0"/>
        <w:adjustRightInd w:val="0"/>
        <w:spacing w:line="584"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八、名词解释</w:t>
      </w:r>
    </w:p>
    <w:p>
      <w:pPr>
        <w:tabs>
          <w:tab w:val="left" w:pos="11490"/>
        </w:tabs>
        <w:spacing w:line="584"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1、一般公共预算拨款收入：</w:t>
      </w:r>
      <w:r>
        <w:rPr>
          <w:rFonts w:ascii="Times New Roman" w:hAnsi="Times New Roman" w:eastAsia="仿宋_GB2312" w:cs="Times New Roman"/>
          <w:sz w:val="32"/>
          <w:szCs w:val="32"/>
        </w:rPr>
        <w:t>指省级财政当年拨付的资金。</w:t>
      </w:r>
    </w:p>
    <w:p>
      <w:pPr>
        <w:tabs>
          <w:tab w:val="left" w:pos="11490"/>
        </w:tabs>
        <w:spacing w:line="584"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2、事业收入：</w:t>
      </w:r>
      <w:r>
        <w:rPr>
          <w:rFonts w:ascii="Times New Roman" w:hAnsi="Times New Roman" w:eastAsia="仿宋_GB2312" w:cs="Times New Roman"/>
          <w:sz w:val="32"/>
          <w:szCs w:val="32"/>
        </w:rPr>
        <w:t>指事业单位开展专业业务活动及辅助活动所取得的收入。</w:t>
      </w:r>
    </w:p>
    <w:p>
      <w:pPr>
        <w:tabs>
          <w:tab w:val="left" w:pos="11490"/>
        </w:tabs>
        <w:spacing w:line="584"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3、其他收入：</w:t>
      </w:r>
      <w:r>
        <w:rPr>
          <w:rFonts w:ascii="Times New Roman" w:hAnsi="Times New Roman" w:eastAsia="仿宋_GB2312" w:cs="Times New Roman"/>
          <w:sz w:val="32"/>
          <w:szCs w:val="32"/>
        </w:rPr>
        <w:t>指除“一般公共预算拨款收入”、“事业收入”等以外的收入。主要是按规定动用的租房收入、存款利息收入等。</w:t>
      </w:r>
    </w:p>
    <w:p>
      <w:pPr>
        <w:tabs>
          <w:tab w:val="left" w:pos="11490"/>
        </w:tabs>
        <w:spacing w:line="584"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4、基本支出：</w:t>
      </w:r>
      <w:r>
        <w:rPr>
          <w:rFonts w:ascii="Times New Roman" w:hAnsi="Times New Roman" w:eastAsia="仿宋_GB2312" w:cs="Times New Roman"/>
          <w:sz w:val="32"/>
          <w:szCs w:val="32"/>
        </w:rPr>
        <w:t>指为保障机构正常运转、完成日常工作任务而发生的人员支出和公用支出。</w:t>
      </w:r>
    </w:p>
    <w:p>
      <w:pPr>
        <w:tabs>
          <w:tab w:val="left" w:pos="11490"/>
        </w:tabs>
        <w:spacing w:line="584"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5、项目支出：</w:t>
      </w:r>
      <w:r>
        <w:rPr>
          <w:rFonts w:ascii="Times New Roman" w:hAnsi="Times New Roman" w:eastAsia="仿宋_GB2312" w:cs="Times New Roman"/>
          <w:sz w:val="32"/>
          <w:szCs w:val="32"/>
        </w:rPr>
        <w:t>指在基本支出之外为完成特定行政任务和事业发展目标所发生的支出。</w:t>
      </w:r>
    </w:p>
    <w:p>
      <w:pPr>
        <w:tabs>
          <w:tab w:val="left" w:pos="11490"/>
        </w:tabs>
        <w:spacing w:line="584"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6、上缴上级支出：</w:t>
      </w:r>
      <w:r>
        <w:rPr>
          <w:rFonts w:ascii="Times New Roman" w:hAnsi="Times New Roman" w:eastAsia="仿宋_GB2312" w:cs="Times New Roman"/>
          <w:sz w:val="32"/>
          <w:szCs w:val="32"/>
        </w:rPr>
        <w:t>指下级单位上缴上级的支出。</w:t>
      </w:r>
    </w:p>
    <w:p>
      <w:pPr>
        <w:tabs>
          <w:tab w:val="left" w:pos="11490"/>
        </w:tabs>
        <w:spacing w:line="584"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7、“三公”经费：</w:t>
      </w:r>
      <w:r>
        <w:rPr>
          <w:rFonts w:ascii="Times New Roman" w:hAnsi="Times New Roman" w:eastAsia="仿宋_GB2312" w:cs="Times New Roman"/>
          <w:sz w:val="32"/>
          <w:szCs w:val="32"/>
        </w:rPr>
        <w:t>纳入省级财政预算管理的“三公”经费，是指省级</w:t>
      </w:r>
      <w:r>
        <w:rPr>
          <w:rFonts w:hint="eastAsia" w:ascii="Times New Roman" w:hAnsi="Times New Roman" w:eastAsia="仿宋_GB2312" w:cs="Times New Roman"/>
          <w:sz w:val="32"/>
          <w:szCs w:val="32"/>
          <w:lang w:eastAsia="zh-CN"/>
        </w:rPr>
        <w:t>单位</w:t>
      </w:r>
      <w:r>
        <w:rPr>
          <w:rFonts w:ascii="Times New Roman" w:hAnsi="Times New Roman" w:eastAsia="仿宋_GB2312" w:cs="Times New Roman"/>
          <w:sz w:val="32"/>
          <w:szCs w:val="32"/>
        </w:rPr>
        <w:t>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tabs>
          <w:tab w:val="left" w:pos="11490"/>
        </w:tabs>
        <w:spacing w:line="584"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8、机关运行费：</w:t>
      </w:r>
      <w:r>
        <w:rPr>
          <w:rFonts w:ascii="Times New Roman" w:hAnsi="Times New Roman" w:eastAsia="仿宋_GB2312" w:cs="Times New Roman"/>
          <w:sz w:val="32"/>
          <w:szCs w:val="32"/>
        </w:rPr>
        <w:t>为保障全部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tabs>
          <w:tab w:val="left" w:pos="11490"/>
        </w:tabs>
        <w:spacing w:line="584"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9、上年结转：</w:t>
      </w:r>
      <w:r>
        <w:rPr>
          <w:rFonts w:ascii="Times New Roman" w:hAnsi="Times New Roman" w:eastAsia="仿宋_GB2312" w:cs="Times New Roman"/>
          <w:sz w:val="32"/>
          <w:szCs w:val="32"/>
        </w:rPr>
        <w:t>指以前年度尚未完成、结转到本年仍按原规定用途继续使用的资金。</w:t>
      </w:r>
    </w:p>
    <w:p>
      <w:pPr>
        <w:tabs>
          <w:tab w:val="left" w:pos="11490"/>
        </w:tabs>
        <w:spacing w:line="584"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10、事业单位经营支出：</w:t>
      </w:r>
      <w:r>
        <w:rPr>
          <w:rFonts w:ascii="Times New Roman" w:hAnsi="Times New Roman" w:eastAsia="仿宋_GB2312" w:cs="Times New Roman"/>
          <w:sz w:val="32"/>
          <w:szCs w:val="32"/>
        </w:rPr>
        <w:t>指事业单位在专业业务活动及其辅助活动之外开展非独立核算经营活动发生的支出。</w:t>
      </w:r>
    </w:p>
    <w:p>
      <w:pPr>
        <w:autoSpaceDE w:val="0"/>
        <w:autoSpaceDN w:val="0"/>
        <w:adjustRightInd w:val="0"/>
        <w:spacing w:line="584"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九、其他需要说明的事项</w:t>
      </w:r>
    </w:p>
    <w:p>
      <w:pPr>
        <w:spacing w:line="58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我</w:t>
      </w:r>
      <w:r>
        <w:rPr>
          <w:rFonts w:hint="eastAsia" w:ascii="Times New Roman" w:hAnsi="Times New Roman" w:eastAsia="仿宋_GB2312" w:cs="Times New Roman"/>
          <w:sz w:val="32"/>
          <w:szCs w:val="32"/>
          <w:lang w:eastAsia="zh-CN"/>
        </w:rPr>
        <w:t>单位</w:t>
      </w:r>
      <w:r>
        <w:rPr>
          <w:rFonts w:ascii="Times New Roman" w:hAnsi="Times New Roman" w:eastAsia="仿宋_GB2312" w:cs="Times New Roman"/>
          <w:sz w:val="32"/>
          <w:szCs w:val="32"/>
        </w:rPr>
        <w:t>无其他需要说明的事项。</w:t>
      </w:r>
    </w:p>
    <w:sectPr>
      <w:footerReference r:id="rId3" w:type="default"/>
      <w:pgSz w:w="16838" w:h="11906" w:orient="landscape"/>
      <w:pgMar w:top="1800" w:right="1440" w:bottom="1800" w:left="1440" w:header="851" w:footer="992" w:gutter="0"/>
      <w:pgBorders>
        <w:top w:val="none" w:sz="0" w:space="0"/>
        <w:left w:val="none" w:sz="0" w:space="0"/>
        <w:bottom w:val="none" w:sz="0" w:space="0"/>
        <w:right w:val="none" w:sz="0" w:space="0"/>
      </w:pgBorders>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oto Sans CJK JP Regular">
    <w:altName w:val="宋体"/>
    <w:panose1 w:val="020B0500000000000000"/>
    <w:charset w:val="86"/>
    <w:family w:val="auto"/>
    <w:pitch w:val="default"/>
    <w:sig w:usb0="00000000" w:usb1="00000000" w:usb2="00000016" w:usb3="00000000" w:csb0="602E0107" w:csb1="00000000"/>
  </w:font>
  <w:font w:name="方正书宋_GBK">
    <w:altName w:val="微软雅黑"/>
    <w:panose1 w:val="02000000000000000000"/>
    <w:charset w:val="86"/>
    <w:family w:val="roman"/>
    <w:pitch w:val="default"/>
    <w:sig w:usb0="00000000" w:usb1="00000000" w:usb2="00000000" w:usb3="00000000" w:csb0="00040000" w:csb1="00000000"/>
  </w:font>
  <w:font w:name="方正仿宋_GBK">
    <w:altName w:val="微软雅黑"/>
    <w:panose1 w:val="02000000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rFonts w:hint="eastAsia"/>
      </w:rPr>
      <w:t>-</w:t>
    </w:r>
    <w:r>
      <w:fldChar w:fldCharType="begin"/>
    </w:r>
    <w:r>
      <w:instrText xml:space="preserve">PAGE   \* MERGEFORMAT</w:instrText>
    </w:r>
    <w:r>
      <w:fldChar w:fldCharType="separate"/>
    </w:r>
    <w:r>
      <w:rPr>
        <w:lang w:val="zh-CN"/>
      </w:rPr>
      <w:t>9</w:t>
    </w:r>
    <w:r>
      <w:rPr>
        <w:lang w:val="zh-CN"/>
      </w:rPr>
      <w:fldChar w:fldCharType="end"/>
    </w:r>
    <w:r>
      <w:rPr>
        <w:rFonts w:hint="eastAsia"/>
      </w:rPr>
      <w:t>-</w:t>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wYWZmNDA1MTg4OWU1YmIyNGZkYTc0NTk2NDMyNDkifQ=="/>
  </w:docVars>
  <w:rsids>
    <w:rsidRoot w:val="00D347CC"/>
    <w:rsid w:val="000230E6"/>
    <w:rsid w:val="0025632D"/>
    <w:rsid w:val="004A54AA"/>
    <w:rsid w:val="00944233"/>
    <w:rsid w:val="00B40732"/>
    <w:rsid w:val="00B80935"/>
    <w:rsid w:val="00D347CC"/>
    <w:rsid w:val="0164492D"/>
    <w:rsid w:val="062473F3"/>
    <w:rsid w:val="071F204C"/>
    <w:rsid w:val="07686B6F"/>
    <w:rsid w:val="0996543A"/>
    <w:rsid w:val="0B744A0F"/>
    <w:rsid w:val="0BA23A41"/>
    <w:rsid w:val="0E5D5891"/>
    <w:rsid w:val="0E5E1C72"/>
    <w:rsid w:val="0E7E5744"/>
    <w:rsid w:val="0EF158CC"/>
    <w:rsid w:val="0F20161D"/>
    <w:rsid w:val="121564F3"/>
    <w:rsid w:val="16171F7F"/>
    <w:rsid w:val="177E3384"/>
    <w:rsid w:val="195C2E49"/>
    <w:rsid w:val="196D3036"/>
    <w:rsid w:val="1CD50C58"/>
    <w:rsid w:val="1DE277CD"/>
    <w:rsid w:val="1E187CCB"/>
    <w:rsid w:val="1F1C50BA"/>
    <w:rsid w:val="1FE81793"/>
    <w:rsid w:val="20104F8E"/>
    <w:rsid w:val="218250B2"/>
    <w:rsid w:val="24AA24FC"/>
    <w:rsid w:val="26594E4B"/>
    <w:rsid w:val="26E50C5D"/>
    <w:rsid w:val="272605C1"/>
    <w:rsid w:val="27F0171A"/>
    <w:rsid w:val="2A9D0851"/>
    <w:rsid w:val="2E002C45"/>
    <w:rsid w:val="33D52DC5"/>
    <w:rsid w:val="353C6D9F"/>
    <w:rsid w:val="35FB81D7"/>
    <w:rsid w:val="375E66FF"/>
    <w:rsid w:val="38EF19B1"/>
    <w:rsid w:val="39B051C8"/>
    <w:rsid w:val="39BD5911"/>
    <w:rsid w:val="3AED4DAF"/>
    <w:rsid w:val="3C803EB9"/>
    <w:rsid w:val="3F3C12AC"/>
    <w:rsid w:val="3F7A2A0D"/>
    <w:rsid w:val="3F8FC1D6"/>
    <w:rsid w:val="3FBC7BEE"/>
    <w:rsid w:val="407135B4"/>
    <w:rsid w:val="43914BBA"/>
    <w:rsid w:val="447379CC"/>
    <w:rsid w:val="45081EF7"/>
    <w:rsid w:val="46DD4168"/>
    <w:rsid w:val="47E82B57"/>
    <w:rsid w:val="49DEDAC4"/>
    <w:rsid w:val="4AD64A28"/>
    <w:rsid w:val="4BD14BDB"/>
    <w:rsid w:val="50C56305"/>
    <w:rsid w:val="517737B8"/>
    <w:rsid w:val="528D62B1"/>
    <w:rsid w:val="5323713A"/>
    <w:rsid w:val="53A64418"/>
    <w:rsid w:val="544C687D"/>
    <w:rsid w:val="5509194F"/>
    <w:rsid w:val="56921A85"/>
    <w:rsid w:val="583D40FB"/>
    <w:rsid w:val="58490869"/>
    <w:rsid w:val="590332FA"/>
    <w:rsid w:val="59205A6E"/>
    <w:rsid w:val="5ADF6A3C"/>
    <w:rsid w:val="5BD46EBF"/>
    <w:rsid w:val="5C2A15C6"/>
    <w:rsid w:val="5D127387"/>
    <w:rsid w:val="5E033269"/>
    <w:rsid w:val="5FDA4E5B"/>
    <w:rsid w:val="5FFF1B2F"/>
    <w:rsid w:val="615C100C"/>
    <w:rsid w:val="62EF2728"/>
    <w:rsid w:val="649B20C6"/>
    <w:rsid w:val="65655D8C"/>
    <w:rsid w:val="65885870"/>
    <w:rsid w:val="670509EC"/>
    <w:rsid w:val="6AB1004F"/>
    <w:rsid w:val="6AE06F20"/>
    <w:rsid w:val="6AE501B3"/>
    <w:rsid w:val="6AEE1375"/>
    <w:rsid w:val="6B7F52B6"/>
    <w:rsid w:val="6C2F4271"/>
    <w:rsid w:val="6D7B6938"/>
    <w:rsid w:val="6E1C12B7"/>
    <w:rsid w:val="6FA031F8"/>
    <w:rsid w:val="71583DB8"/>
    <w:rsid w:val="72895FDA"/>
    <w:rsid w:val="731059AA"/>
    <w:rsid w:val="73C32009"/>
    <w:rsid w:val="75FD90CF"/>
    <w:rsid w:val="764C346A"/>
    <w:rsid w:val="777D609B"/>
    <w:rsid w:val="778B73A5"/>
    <w:rsid w:val="78C71EA4"/>
    <w:rsid w:val="7AA51D06"/>
    <w:rsid w:val="7C414A1F"/>
    <w:rsid w:val="7C8314BF"/>
    <w:rsid w:val="7DDC91D4"/>
    <w:rsid w:val="7E3670EB"/>
    <w:rsid w:val="7FAF6BF2"/>
    <w:rsid w:val="7FAFA154"/>
    <w:rsid w:val="8A9F51A1"/>
    <w:rsid w:val="8BD5E239"/>
    <w:rsid w:val="97EF09C2"/>
    <w:rsid w:val="9BDEBA39"/>
    <w:rsid w:val="BA5F890B"/>
    <w:rsid w:val="BF676BB6"/>
    <w:rsid w:val="DB353C35"/>
    <w:rsid w:val="FDFE257A"/>
    <w:rsid w:val="FEFF67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ind w:left="120"/>
    </w:pPr>
    <w:rPr>
      <w:rFonts w:ascii="Noto Sans CJK JP Regular" w:hAnsi="Noto Sans CJK JP Regular" w:eastAsia="Noto Sans CJK JP Regular" w:cs="Noto Sans CJK JP Regular"/>
      <w:sz w:val="32"/>
      <w:szCs w:val="32"/>
      <w:lang w:val="zh-CN" w:eastAsia="zh-CN" w:bidi="zh-CN"/>
    </w:r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rFonts w:ascii="Times New Roman" w:hAnsi="Times New Roman" w:cs="Times New Roman"/>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rFonts w:ascii="Times New Roman" w:hAnsi="Times New Roman" w:cs="Times New Roman"/>
      <w:sz w:val="18"/>
      <w:szCs w:val="18"/>
    </w:rPr>
  </w:style>
  <w:style w:type="paragraph" w:styleId="6">
    <w:name w:val="toc 1"/>
    <w:basedOn w:val="1"/>
    <w:next w:val="1"/>
    <w:qFormat/>
    <w:uiPriority w:val="0"/>
    <w:rPr>
      <w:rFonts w:ascii="Times New Roman" w:hAnsi="Times New Roman" w:cs="Times New Roman"/>
      <w:szCs w:val="24"/>
    </w:rPr>
  </w:style>
  <w:style w:type="paragraph" w:styleId="7">
    <w:name w:val="footnote text"/>
    <w:basedOn w:val="1"/>
    <w:qFormat/>
    <w:uiPriority w:val="0"/>
    <w:pPr>
      <w:snapToGrid w:val="0"/>
      <w:jc w:val="left"/>
    </w:pPr>
    <w:rPr>
      <w:rFonts w:cs="Times New Roman"/>
      <w:sz w:val="18"/>
      <w:szCs w:val="18"/>
    </w:rPr>
  </w:style>
  <w:style w:type="paragraph" w:styleId="8">
    <w:name w:val="toc 2"/>
    <w:basedOn w:val="1"/>
    <w:next w:val="1"/>
    <w:qFormat/>
    <w:uiPriority w:val="0"/>
    <w:pPr>
      <w:ind w:left="200" w:leftChars="200"/>
    </w:pPr>
    <w:rPr>
      <w:rFonts w:ascii="Times New Roman" w:hAnsi="Times New Roman" w:cs="Times New Roman"/>
      <w:szCs w:val="24"/>
    </w:rPr>
  </w:style>
  <w:style w:type="character" w:styleId="11">
    <w:name w:val="footnote reference"/>
    <w:qFormat/>
    <w:uiPriority w:val="0"/>
    <w:rPr>
      <w:vertAlign w:val="superscript"/>
    </w:rPr>
  </w:style>
  <w:style w:type="paragraph" w:customStyle="1" w:styleId="12">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3">
    <w:name w:val="单元格样式1"/>
    <w:basedOn w:val="1"/>
    <w:qFormat/>
    <w:uiPriority w:val="0"/>
    <w:pPr>
      <w:widowControl/>
      <w:jc w:val="center"/>
    </w:pPr>
    <w:rPr>
      <w:rFonts w:ascii="方正书宋_GBK" w:hAnsi="方正书宋_GBK" w:eastAsia="方正书宋_GBK" w:cs="方正书宋_GBK"/>
      <w:b/>
      <w:kern w:val="0"/>
      <w:szCs w:val="24"/>
      <w:lang w:eastAsia="uk-UA"/>
    </w:rPr>
  </w:style>
  <w:style w:type="paragraph" w:customStyle="1" w:styleId="14">
    <w:name w:val="单元格样式4"/>
    <w:basedOn w:val="1"/>
    <w:qFormat/>
    <w:uiPriority w:val="0"/>
    <w:pPr>
      <w:widowControl/>
      <w:jc w:val="right"/>
    </w:pPr>
    <w:rPr>
      <w:rFonts w:ascii="方正书宋_GBK" w:hAnsi="方正书宋_GBK" w:eastAsia="方正书宋_GBK" w:cs="方正书宋_GBK"/>
      <w:kern w:val="0"/>
      <w:szCs w:val="24"/>
      <w:lang w:eastAsia="uk-UA"/>
    </w:rPr>
  </w:style>
  <w:style w:type="paragraph" w:customStyle="1" w:styleId="15">
    <w:name w:val="单元格样式2"/>
    <w:basedOn w:val="1"/>
    <w:qFormat/>
    <w:uiPriority w:val="0"/>
    <w:pPr>
      <w:widowControl/>
      <w:jc w:val="left"/>
    </w:pPr>
    <w:rPr>
      <w:rFonts w:ascii="方正书宋_GBK" w:hAnsi="方正书宋_GBK" w:eastAsia="方正书宋_GBK" w:cs="方正书宋_GBK"/>
      <w:kern w:val="0"/>
      <w:szCs w:val="24"/>
      <w:lang w:eastAsia="uk-UA"/>
    </w:rPr>
  </w:style>
  <w:style w:type="paragraph" w:customStyle="1" w:styleId="16">
    <w:name w:val="单元格样式3"/>
    <w:basedOn w:val="1"/>
    <w:qFormat/>
    <w:uiPriority w:val="0"/>
    <w:pPr>
      <w:widowControl/>
      <w:jc w:val="center"/>
    </w:pPr>
    <w:rPr>
      <w:rFonts w:ascii="方正书宋_GBK" w:hAnsi="方正书宋_GBK" w:eastAsia="方正书宋_GBK" w:cs="方正书宋_GBK"/>
      <w:kern w:val="0"/>
      <w:szCs w:val="24"/>
      <w:lang w:eastAsia="uk-UA"/>
    </w:rPr>
  </w:style>
  <w:style w:type="paragraph" w:customStyle="1" w:styleId="17">
    <w:name w:val="单元格样式6"/>
    <w:basedOn w:val="1"/>
    <w:qFormat/>
    <w:uiPriority w:val="0"/>
    <w:pPr>
      <w:widowControl/>
      <w:jc w:val="center"/>
    </w:pPr>
    <w:rPr>
      <w:rFonts w:ascii="方正书宋_GBK" w:hAnsi="方正书宋_GBK" w:eastAsia="方正书宋_GBK" w:cs="方正书宋_GBK"/>
      <w:b/>
      <w:kern w:val="0"/>
      <w:szCs w:val="24"/>
      <w:lang w:eastAsia="uk-UA"/>
    </w:rPr>
  </w:style>
  <w:style w:type="paragraph" w:customStyle="1" w:styleId="18">
    <w:name w:val="单元格样式7"/>
    <w:basedOn w:val="1"/>
    <w:qFormat/>
    <w:uiPriority w:val="0"/>
    <w:pPr>
      <w:widowControl/>
      <w:jc w:val="right"/>
    </w:pPr>
    <w:rPr>
      <w:rFonts w:ascii="方正书宋_GBK" w:hAnsi="方正书宋_GBK" w:eastAsia="方正书宋_GBK" w:cs="方正书宋_GBK"/>
      <w:b/>
      <w:kern w:val="0"/>
      <w:szCs w:val="24"/>
      <w:lang w:eastAsia="uk-UA"/>
    </w:rPr>
  </w:style>
  <w:style w:type="paragraph" w:customStyle="1" w:styleId="19">
    <w:name w:val="单元格样式5"/>
    <w:basedOn w:val="1"/>
    <w:qFormat/>
    <w:uiPriority w:val="0"/>
    <w:pPr>
      <w:widowControl/>
      <w:jc w:val="left"/>
    </w:pPr>
    <w:rPr>
      <w:rFonts w:ascii="方正书宋_GBK" w:hAnsi="方正书宋_GBK" w:eastAsia="方正书宋_GBK" w:cs="方正书宋_GBK"/>
      <w:b/>
      <w:kern w:val="0"/>
      <w:szCs w:val="24"/>
      <w:lang w:eastAsia="uk-UA"/>
    </w:rPr>
  </w:style>
  <w:style w:type="paragraph" w:customStyle="1" w:styleId="20">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character" w:customStyle="1" w:styleId="24">
    <w:name w:val="font31"/>
    <w:basedOn w:val="10"/>
    <w:qFormat/>
    <w:uiPriority w:val="0"/>
    <w:rPr>
      <w:rFonts w:hint="eastAsia" w:ascii="仿宋_GB2312" w:eastAsia="仿宋_GB2312" w:cs="仿宋_GB2312"/>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41</Pages>
  <Words>16793</Words>
  <Characters>17855</Characters>
  <Lines>24</Lines>
  <Paragraphs>6</Paragraphs>
  <TotalTime>0</TotalTime>
  <ScaleCrop>false</ScaleCrop>
  <LinksUpToDate>false</LinksUpToDate>
  <CharactersWithSpaces>18017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2020-01-17T19:27:00Z</dcterms:created>
  <dc:creator>guest</dc:creator>
  <cp:lastModifiedBy>MaVis</cp:lastModifiedBy>
  <cp:lastPrinted>2018-02-03T22:12:00Z</cp:lastPrinted>
  <dcterms:modified xsi:type="dcterms:W3CDTF">2023-09-22T00:52:56Z</dcterms:modified>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F5A3AB3AFD2C4046AAF4BB56A3537D88</vt:lpwstr>
  </property>
</Properties>
</file>